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9BE14" w14:textId="2B8343D0" w:rsidR="00B0244B" w:rsidRPr="0018695F" w:rsidRDefault="00B0244B" w:rsidP="008864BB">
      <w:pPr>
        <w:pStyle w:val="Heading1"/>
        <w:ind w:left="0" w:firstLine="0"/>
      </w:pPr>
      <w:r>
        <w:tab/>
      </w:r>
      <w:r w:rsidR="00137A43">
        <w:t>Equality Impact</w:t>
      </w:r>
      <w:r w:rsidR="00A55559">
        <w:t xml:space="preserve"> </w:t>
      </w:r>
      <w:r w:rsidR="42C9ACB7">
        <w:t>Assessment</w:t>
      </w:r>
    </w:p>
    <w:p w14:paraId="2BBDF882" w14:textId="3B01347C" w:rsidR="00225130" w:rsidRPr="008864BB" w:rsidRDefault="00225130" w:rsidP="00CE70FC">
      <w:pPr>
        <w:pStyle w:val="InstructionsPLEASEDELETE"/>
        <w:spacing w:after="240"/>
        <w:rPr>
          <w:color w:val="auto"/>
        </w:rPr>
      </w:pPr>
      <w:r w:rsidRPr="1AD6D21D">
        <w:rPr>
          <w:color w:val="auto"/>
        </w:rPr>
        <w:t xml:space="preserve">The Council has a </w:t>
      </w:r>
      <w:r w:rsidR="5E039E86" w:rsidRPr="1AD6D21D">
        <w:rPr>
          <w:color w:val="auto"/>
        </w:rPr>
        <w:t xml:space="preserve">public sector </w:t>
      </w:r>
      <w:r w:rsidRPr="1AD6D21D">
        <w:rPr>
          <w:color w:val="auto"/>
        </w:rPr>
        <w:t xml:space="preserve">duty under the Equality Act </w:t>
      </w:r>
      <w:r w:rsidR="772BC588" w:rsidRPr="1AD6D21D">
        <w:rPr>
          <w:color w:val="auto"/>
        </w:rPr>
        <w:t>2010</w:t>
      </w:r>
      <w:r w:rsidRPr="1AD6D21D">
        <w:rPr>
          <w:color w:val="auto"/>
        </w:rPr>
        <w:t xml:space="preserve"> to </w:t>
      </w:r>
      <w:r w:rsidR="79E1FB25" w:rsidRPr="1AD6D21D">
        <w:rPr>
          <w:color w:val="auto"/>
        </w:rPr>
        <w:t>have</w:t>
      </w:r>
      <w:r w:rsidRPr="1AD6D21D">
        <w:rPr>
          <w:color w:val="auto"/>
        </w:rPr>
        <w:t xml:space="preserve"> ‘due regard’ to</w:t>
      </w:r>
      <w:r w:rsidR="000F5CF2" w:rsidRPr="1AD6D21D">
        <w:rPr>
          <w:color w:val="auto"/>
        </w:rPr>
        <w:t xml:space="preserve"> equality and to</w:t>
      </w:r>
      <w:r w:rsidRPr="1AD6D21D">
        <w:rPr>
          <w:color w:val="auto"/>
        </w:rPr>
        <w:t xml:space="preserve"> </w:t>
      </w:r>
      <w:r w:rsidR="072520F6" w:rsidRPr="1AD6D21D">
        <w:rPr>
          <w:color w:val="auto"/>
        </w:rPr>
        <w:t xml:space="preserve">advancing </w:t>
      </w:r>
      <w:r w:rsidRPr="1AD6D21D">
        <w:rPr>
          <w:color w:val="auto"/>
        </w:rPr>
        <w:t>equality</w:t>
      </w:r>
      <w:r w:rsidR="1C9C9754" w:rsidRPr="1AD6D21D">
        <w:rPr>
          <w:color w:val="auto"/>
        </w:rPr>
        <w:t xml:space="preserve"> of opportunity between those persons who share a relevant protected characteristic and persons who do not share it.</w:t>
      </w:r>
      <w:r w:rsidR="2A04B1D8" w:rsidRPr="1AD6D21D">
        <w:rPr>
          <w:color w:val="auto"/>
        </w:rPr>
        <w:t xml:space="preserve">  The Act also seeks to eliminate discrimination, harassment and victimisation</w:t>
      </w:r>
      <w:r w:rsidR="000F5CF2" w:rsidRPr="1AD6D21D">
        <w:rPr>
          <w:color w:val="auto"/>
        </w:rPr>
        <w:t xml:space="preserve"> and promote cohesion</w:t>
      </w:r>
      <w:r w:rsidR="4A360D6A" w:rsidRPr="1AD6D21D">
        <w:rPr>
          <w:color w:val="auto"/>
        </w:rPr>
        <w:t xml:space="preserve">. </w:t>
      </w:r>
      <w:r w:rsidR="00FE6A37" w:rsidRPr="1AD6D21D">
        <w:rPr>
          <w:color w:val="auto"/>
        </w:rPr>
        <w:t>It is</w:t>
      </w:r>
      <w:r w:rsidRPr="1AD6D21D">
        <w:rPr>
          <w:color w:val="auto"/>
        </w:rPr>
        <w:t xml:space="preserve"> important that you carefully and thoroughly consider the different potential impacts that the decision being taken may have on people </w:t>
      </w:r>
      <w:r w:rsidR="24A67FB8" w:rsidRPr="1AD6D21D">
        <w:rPr>
          <w:color w:val="auto"/>
        </w:rPr>
        <w:t>who share</w:t>
      </w:r>
      <w:r w:rsidRPr="1AD6D21D">
        <w:rPr>
          <w:color w:val="auto"/>
        </w:rPr>
        <w:t xml:space="preserve"> protected characteristics</w:t>
      </w:r>
      <w:r w:rsidR="36D0CCE9" w:rsidRPr="1AD6D21D">
        <w:rPr>
          <w:color w:val="auto"/>
        </w:rPr>
        <w:t xml:space="preserve">. </w:t>
      </w:r>
    </w:p>
    <w:p w14:paraId="31F354CA" w14:textId="6DC11E38" w:rsidR="00B0244B" w:rsidRPr="008864BB" w:rsidRDefault="00225130" w:rsidP="00CE70FC">
      <w:pPr>
        <w:pStyle w:val="InstructionsPLEASEDELETE"/>
        <w:spacing w:after="240"/>
        <w:rPr>
          <w:color w:val="auto"/>
        </w:rPr>
      </w:pPr>
      <w:r w:rsidRPr="1AD6D21D">
        <w:rPr>
          <w:color w:val="auto"/>
        </w:rPr>
        <w:t xml:space="preserve">It </w:t>
      </w:r>
      <w:r w:rsidR="00A55559" w:rsidRPr="1AD6D21D">
        <w:rPr>
          <w:color w:val="auto"/>
        </w:rPr>
        <w:t>is</w:t>
      </w:r>
      <w:r w:rsidRPr="1AD6D21D">
        <w:rPr>
          <w:color w:val="auto"/>
        </w:rPr>
        <w:t xml:space="preserve"> </w:t>
      </w:r>
      <w:r w:rsidR="00FE6A37" w:rsidRPr="1AD6D21D">
        <w:rPr>
          <w:color w:val="auto"/>
        </w:rPr>
        <w:t>not enough to state that a proposal will affect everyone equally</w:t>
      </w:r>
      <w:r w:rsidR="17D3B65B" w:rsidRPr="1AD6D21D">
        <w:rPr>
          <w:color w:val="auto"/>
        </w:rPr>
        <w:t xml:space="preserve">. </w:t>
      </w:r>
      <w:r w:rsidR="00FE6A37" w:rsidRPr="1AD6D21D">
        <w:rPr>
          <w:color w:val="auto"/>
        </w:rPr>
        <w:t xml:space="preserve">There should be </w:t>
      </w:r>
      <w:r w:rsidR="5CE4CE85" w:rsidRPr="1AD6D21D">
        <w:rPr>
          <w:color w:val="auto"/>
        </w:rPr>
        <w:t>thorough</w:t>
      </w:r>
      <w:r w:rsidR="00FE6A37" w:rsidRPr="1AD6D21D">
        <w:rPr>
          <w:color w:val="auto"/>
        </w:rPr>
        <w:t xml:space="preserve"> consideration </w:t>
      </w:r>
      <w:r w:rsidR="1426D92C" w:rsidRPr="1AD6D21D">
        <w:rPr>
          <w:color w:val="auto"/>
        </w:rPr>
        <w:t>as</w:t>
      </w:r>
      <w:r w:rsidR="00FE6A37" w:rsidRPr="1AD6D21D">
        <w:rPr>
          <w:color w:val="auto"/>
        </w:rPr>
        <w:t xml:space="preserve"> to </w:t>
      </w:r>
      <w:r w:rsidR="5DE4C95D" w:rsidRPr="1AD6D21D">
        <w:rPr>
          <w:color w:val="auto"/>
        </w:rPr>
        <w:t>whether</w:t>
      </w:r>
      <w:r w:rsidR="00FE6A37" w:rsidRPr="1AD6D21D">
        <w:rPr>
          <w:color w:val="auto"/>
        </w:rPr>
        <w:t xml:space="preserve"> </w:t>
      </w:r>
      <w:bookmarkStart w:id="0" w:name="_Int_oiis8ppG"/>
      <w:r w:rsidR="00FE6A37" w:rsidRPr="1AD6D21D">
        <w:rPr>
          <w:color w:val="auto"/>
        </w:rPr>
        <w:t>particular groups</w:t>
      </w:r>
      <w:bookmarkEnd w:id="0"/>
      <w:r w:rsidR="00FE6A37" w:rsidRPr="1AD6D21D">
        <w:rPr>
          <w:color w:val="auto"/>
        </w:rPr>
        <w:t xml:space="preserve"> </w:t>
      </w:r>
      <w:r w:rsidR="3C37411E" w:rsidRPr="1AD6D21D">
        <w:rPr>
          <w:color w:val="auto"/>
        </w:rPr>
        <w:t xml:space="preserve">or individuals </w:t>
      </w:r>
      <w:r w:rsidR="00FE6A37" w:rsidRPr="1AD6D21D">
        <w:rPr>
          <w:color w:val="auto"/>
        </w:rPr>
        <w:t xml:space="preserve">are more likely to be affected than others </w:t>
      </w:r>
      <w:r w:rsidR="56A9BA23" w:rsidRPr="1AD6D21D">
        <w:rPr>
          <w:color w:val="auto"/>
        </w:rPr>
        <w:t>by the proposals and decision</w:t>
      </w:r>
      <w:r w:rsidR="13F3DE36" w:rsidRPr="1AD6D21D">
        <w:rPr>
          <w:color w:val="auto"/>
        </w:rPr>
        <w:t xml:space="preserve">. </w:t>
      </w:r>
      <w:r w:rsidR="27D2AE5D" w:rsidRPr="1AD6D21D">
        <w:rPr>
          <w:color w:val="auto"/>
        </w:rPr>
        <w:t>Please complete</w:t>
      </w:r>
      <w:r w:rsidR="00FE6A37" w:rsidRPr="1AD6D21D">
        <w:rPr>
          <w:color w:val="auto"/>
        </w:rPr>
        <w:t xml:space="preserve"> the table below.  If you consider there to be no positive or negative impacts </w:t>
      </w:r>
      <w:r w:rsidR="10967007" w:rsidRPr="1AD6D21D">
        <w:rPr>
          <w:color w:val="auto"/>
        </w:rPr>
        <w:t>state</w:t>
      </w:r>
      <w:r w:rsidR="00FE6A37" w:rsidRPr="1AD6D21D">
        <w:rPr>
          <w:color w:val="auto"/>
        </w:rPr>
        <w:t xml:space="preserve"> ‘there is no differential impact</w:t>
      </w:r>
      <w:r w:rsidR="76E0E88F" w:rsidRPr="1AD6D21D">
        <w:rPr>
          <w:color w:val="auto"/>
        </w:rPr>
        <w:t>.’</w:t>
      </w:r>
    </w:p>
    <w:tbl>
      <w:tblPr>
        <w:tblStyle w:val="TableGrid"/>
        <w:tblW w:w="15388" w:type="dxa"/>
        <w:tblLook w:val="04A0" w:firstRow="1" w:lastRow="0" w:firstColumn="1" w:lastColumn="0" w:noHBand="0" w:noVBand="1"/>
      </w:tblPr>
      <w:tblGrid>
        <w:gridCol w:w="2631"/>
        <w:gridCol w:w="3460"/>
        <w:gridCol w:w="4629"/>
        <w:gridCol w:w="2844"/>
        <w:gridCol w:w="1824"/>
      </w:tblGrid>
      <w:tr w:rsidR="005F26B4" w:rsidRPr="001B3442" w14:paraId="6D094FE6" w14:textId="77777777" w:rsidTr="30973584">
        <w:tc>
          <w:tcPr>
            <w:tcW w:w="1538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E6E351" w14:textId="77777777" w:rsidR="005F26B4" w:rsidRDefault="005F26B4" w:rsidP="00225130">
            <w:pPr>
              <w:spacing w:line="240" w:lineRule="auto"/>
              <w:rPr>
                <w:rFonts w:cstheme="minorHAnsi"/>
                <w:b/>
                <w:szCs w:val="24"/>
                <w:shd w:val="clear" w:color="auto" w:fill="E6E6E6"/>
              </w:rPr>
            </w:pPr>
            <w:r>
              <w:rPr>
                <w:rFonts w:cstheme="minorHAnsi"/>
                <w:b/>
                <w:szCs w:val="24"/>
                <w:shd w:val="clear" w:color="auto" w:fill="E6E6E6"/>
              </w:rPr>
              <w:t>Overview:</w:t>
            </w:r>
          </w:p>
          <w:p w14:paraId="3993402F" w14:textId="77777777" w:rsidR="005F26B4" w:rsidRDefault="005F26B4" w:rsidP="00225130">
            <w:pPr>
              <w:spacing w:line="240" w:lineRule="auto"/>
              <w:rPr>
                <w:rFonts w:cstheme="minorHAnsi"/>
                <w:b/>
                <w:szCs w:val="24"/>
                <w:shd w:val="clear" w:color="auto" w:fill="E6E6E6"/>
              </w:rPr>
            </w:pPr>
          </w:p>
          <w:p w14:paraId="207F1B8F" w14:textId="01E73DD6" w:rsidR="005F26B4" w:rsidRDefault="005F26B4" w:rsidP="00225130">
            <w:pPr>
              <w:spacing w:line="240" w:lineRule="auto"/>
            </w:pPr>
            <w:r>
              <w:t xml:space="preserve">This Equality Impact Assessment (EIA) assesses the proposed council budget for 2025/26 which is being considered by Council. </w:t>
            </w:r>
            <w:r w:rsidR="00993B17">
              <w:t>It</w:t>
            </w:r>
            <w:r>
              <w:t xml:space="preserve"> specifically assesses the potential impact of the proposal to increase Council Tax</w:t>
            </w:r>
            <w:r w:rsidR="1B703F55">
              <w:t>.</w:t>
            </w:r>
          </w:p>
          <w:p w14:paraId="6E93BB21" w14:textId="266BAB86" w:rsidR="1ABC4A5B" w:rsidRDefault="1ABC4A5B" w:rsidP="1ABC4A5B">
            <w:pPr>
              <w:spacing w:line="240" w:lineRule="auto"/>
            </w:pPr>
          </w:p>
          <w:p w14:paraId="0C379CD1" w14:textId="53892B5E" w:rsidR="005F26B4" w:rsidRDefault="005F26B4" w:rsidP="00225130">
            <w:pPr>
              <w:spacing w:line="240" w:lineRule="auto"/>
            </w:pPr>
            <w:r>
              <w:t>The EIA considers</w:t>
            </w:r>
            <w:r w:rsidR="00787215">
              <w:t xml:space="preserve"> </w:t>
            </w:r>
            <w:r>
              <w:t xml:space="preserve">the potential impacts arising from budget management on those with protected characteristics. Given the close links between vulnerability and socioeconomic inequality, the EIA also considers the impact of proposals from this perspective. Torbay ranks </w:t>
            </w:r>
            <w:r w:rsidR="46342B00">
              <w:t xml:space="preserve">as </w:t>
            </w:r>
            <w:r>
              <w:t xml:space="preserve">the 38th most deprived upper tier local authority in England out of a total of 151 local authorities, according to the Indices of Multiple Deprivation (IMD) 2019. </w:t>
            </w:r>
          </w:p>
          <w:p w14:paraId="0F2BB162" w14:textId="77777777" w:rsidR="005F26B4" w:rsidRDefault="005F26B4" w:rsidP="00225130">
            <w:pPr>
              <w:spacing w:line="240" w:lineRule="auto"/>
            </w:pPr>
          </w:p>
          <w:p w14:paraId="6FF582EC" w14:textId="794C60BF" w:rsidR="005F26B4" w:rsidRDefault="1ECFE1D4" w:rsidP="7A83E71A">
            <w:pPr>
              <w:spacing w:line="240" w:lineRule="auto"/>
            </w:pPr>
            <w:r w:rsidRPr="30973584">
              <w:rPr>
                <w:szCs w:val="24"/>
              </w:rPr>
              <w:t>No budget reductions or service reductions are built into the budget for 2</w:t>
            </w:r>
            <w:r w:rsidR="175E8051" w:rsidRPr="30973584">
              <w:rPr>
                <w:szCs w:val="24"/>
              </w:rPr>
              <w:t>02</w:t>
            </w:r>
            <w:r w:rsidRPr="30973584">
              <w:rPr>
                <w:szCs w:val="24"/>
              </w:rPr>
              <w:t xml:space="preserve">5/26, but </w:t>
            </w:r>
            <w:r w:rsidR="517E891F" w:rsidRPr="30973584">
              <w:rPr>
                <w:szCs w:val="24"/>
              </w:rPr>
              <w:t>several</w:t>
            </w:r>
            <w:r w:rsidRPr="30973584">
              <w:rPr>
                <w:szCs w:val="24"/>
              </w:rPr>
              <w:t xml:space="preserve"> Financial Sustainability Plans exist, which summarise how key areas of </w:t>
            </w:r>
            <w:r w:rsidR="0D6F10D8" w:rsidRPr="30973584">
              <w:rPr>
                <w:szCs w:val="24"/>
              </w:rPr>
              <w:t xml:space="preserve">budget </w:t>
            </w:r>
            <w:r w:rsidRPr="30973584">
              <w:rPr>
                <w:szCs w:val="24"/>
              </w:rPr>
              <w:t xml:space="preserve">risks are going to be managed to </w:t>
            </w:r>
            <w:r w:rsidR="34C4CF4D" w:rsidRPr="30973584">
              <w:rPr>
                <w:szCs w:val="24"/>
              </w:rPr>
              <w:t xml:space="preserve">mitigate </w:t>
            </w:r>
            <w:r w:rsidRPr="30973584">
              <w:rPr>
                <w:szCs w:val="24"/>
              </w:rPr>
              <w:t xml:space="preserve">spending </w:t>
            </w:r>
            <w:r w:rsidR="4CFE2530">
              <w:t>pressures. This</w:t>
            </w:r>
            <w:r w:rsidR="008F22F8">
              <w:t xml:space="preserve"> year, equality implications are most likely to come from the </w:t>
            </w:r>
            <w:r w:rsidR="005F26B4">
              <w:t xml:space="preserve">ongoing management of </w:t>
            </w:r>
            <w:r w:rsidR="00644AEF">
              <w:t xml:space="preserve">the Council’s </w:t>
            </w:r>
            <w:r w:rsidR="005F26B4">
              <w:t>budget throughout 2025/26</w:t>
            </w:r>
            <w:r w:rsidR="004876E0">
              <w:t>.</w:t>
            </w:r>
            <w:r w:rsidR="63A09464">
              <w:t xml:space="preserve"> </w:t>
            </w:r>
            <w:r w:rsidR="004876E0">
              <w:t xml:space="preserve">The main tool for managing </w:t>
            </w:r>
            <w:r w:rsidR="00644AEF">
              <w:t xml:space="preserve">any changes required to </w:t>
            </w:r>
            <w:r w:rsidR="00C453E8">
              <w:t xml:space="preserve">service delivery </w:t>
            </w:r>
            <w:r w:rsidR="004876E0">
              <w:t xml:space="preserve">are the Council’s </w:t>
            </w:r>
            <w:r w:rsidR="0066259F">
              <w:t>Financial Sustainability Plans</w:t>
            </w:r>
            <w:r w:rsidR="0B474B18">
              <w:t>.</w:t>
            </w:r>
            <w:r w:rsidR="00DA2403">
              <w:t xml:space="preserve"> </w:t>
            </w:r>
          </w:p>
          <w:p w14:paraId="02AAE2B9" w14:textId="77546A55" w:rsidR="005F26B4" w:rsidRDefault="005F26B4" w:rsidP="7A83E71A">
            <w:pPr>
              <w:spacing w:line="240" w:lineRule="auto"/>
            </w:pPr>
          </w:p>
          <w:p w14:paraId="2AAE5EC5" w14:textId="1C766AE7" w:rsidR="005F26B4" w:rsidRDefault="00DA2403" w:rsidP="7A83E71A">
            <w:pPr>
              <w:spacing w:line="240" w:lineRule="auto"/>
            </w:pPr>
            <w:r>
              <w:t>This EIA does not fully assess the Financial Sustainability Plans as these will be further assessed as the proposals develop and go through the decision-making cycle independently.</w:t>
            </w:r>
            <w:r w:rsidR="5DEE3BE7">
              <w:t xml:space="preserve"> Where proposals form part of </w:t>
            </w:r>
            <w:r w:rsidR="7A6F54F8">
              <w:t>business-as-usual</w:t>
            </w:r>
            <w:r w:rsidR="5DEE3BE7">
              <w:t xml:space="preserve"> service delivery, departments will ensure that they continue to ensure equitable service delivery. </w:t>
            </w:r>
          </w:p>
          <w:p w14:paraId="05101090" w14:textId="77777777" w:rsidR="004C34B3" w:rsidRDefault="004C34B3" w:rsidP="1AD6D21D">
            <w:pPr>
              <w:spacing w:line="240" w:lineRule="auto"/>
              <w:rPr>
                <w:shd w:val="clear" w:color="auto" w:fill="E6E6E6"/>
              </w:rPr>
            </w:pPr>
          </w:p>
          <w:p w14:paraId="5CA31939" w14:textId="25BD0F34" w:rsidR="1AD6D21D" w:rsidRDefault="1AD6D21D" w:rsidP="1AD6D21D">
            <w:pPr>
              <w:spacing w:line="240" w:lineRule="auto"/>
            </w:pPr>
          </w:p>
          <w:p w14:paraId="5E38169A" w14:textId="539E6C80" w:rsidR="1AD6D21D" w:rsidRDefault="1AD6D21D" w:rsidP="1AD6D21D">
            <w:pPr>
              <w:spacing w:line="240" w:lineRule="auto"/>
            </w:pPr>
          </w:p>
          <w:p w14:paraId="0B45B5F3" w14:textId="0C61DB76" w:rsidR="004C34B3" w:rsidRPr="004C34B3" w:rsidRDefault="004C34B3" w:rsidP="004C34B3">
            <w:pPr>
              <w:spacing w:line="240" w:lineRule="auto"/>
              <w:rPr>
                <w:b/>
                <w:bCs/>
              </w:rPr>
            </w:pPr>
            <w:r w:rsidRPr="004C34B3">
              <w:rPr>
                <w:b/>
                <w:bCs/>
              </w:rPr>
              <w:t>Council Tax</w:t>
            </w:r>
          </w:p>
          <w:p w14:paraId="54006EAC" w14:textId="30D84CE2" w:rsidR="004C34B3" w:rsidRDefault="006126ED" w:rsidP="004C34B3">
            <w:pPr>
              <w:spacing w:line="240" w:lineRule="auto"/>
            </w:pPr>
            <w:r>
              <w:t xml:space="preserve">It is proposed by the Cabinet that the Council increases its Council Tax requirement in 2025/26 by 2.75% (below the allowable capped rate of 2.99%). In addition, it is proposed to increase Council Tax specifically for Adult Social Care by a further 2%. </w:t>
            </w:r>
            <w:r w:rsidR="004C34B3">
              <w:t xml:space="preserve">This will allow us to increase the support that is available to support the communities who need it the most and to continue to invest in services while minimising as much as possible the financial impacts for our residents. </w:t>
            </w:r>
            <w:r w:rsidR="05FB4BF2">
              <w:t xml:space="preserve">The Local Government Finance settlement for 2025/26 assumes that all Councils will increase </w:t>
            </w:r>
            <w:r w:rsidR="7A0D34C3">
              <w:t xml:space="preserve">Council Tax </w:t>
            </w:r>
            <w:r w:rsidR="05FB4BF2">
              <w:t>by 2.99% and a further 2% for</w:t>
            </w:r>
            <w:r w:rsidR="5FA292A8">
              <w:t xml:space="preserve"> the</w:t>
            </w:r>
            <w:r w:rsidR="05FB4BF2">
              <w:t xml:space="preserve"> </w:t>
            </w:r>
            <w:r w:rsidR="2B00E974">
              <w:t>Adult Social Care Precept</w:t>
            </w:r>
            <w:r w:rsidR="05FB4BF2">
              <w:t>.</w:t>
            </w:r>
          </w:p>
          <w:p w14:paraId="0BAFDCDA" w14:textId="77777777" w:rsidR="004C34B3" w:rsidRDefault="004C34B3" w:rsidP="004C34B3">
            <w:pPr>
              <w:spacing w:line="240" w:lineRule="auto"/>
            </w:pPr>
          </w:p>
          <w:p w14:paraId="600F37E2" w14:textId="5CD0A829" w:rsidR="004C34B3" w:rsidRDefault="004C34B3" w:rsidP="004C34B3">
            <w:pPr>
              <w:spacing w:line="240" w:lineRule="auto"/>
            </w:pPr>
            <w:r>
              <w:t xml:space="preserve">Whilst it is not possible to fully mitigate the impact of Council Tax increases, Torbay Council operates a Council Tax Support Scheme which limits the amount of Council Tax that eligible recipients are required to pay to up to 75%. The current Council Tax Support Scheme caseload has been analysed to help identify if there may be an indirect impact on one or more groups with protected characteristics because of the proposed increases to Council Tax. </w:t>
            </w:r>
            <w:r w:rsidR="50E90AA2">
              <w:t xml:space="preserve">In </w:t>
            </w:r>
            <w:r w:rsidR="0E23B05A">
              <w:t>addition, the</w:t>
            </w:r>
            <w:r w:rsidR="50E90AA2">
              <w:t xml:space="preserve"> Council has various support mechanisms in place for people experiencing f</w:t>
            </w:r>
            <w:r w:rsidR="33B3155D">
              <w:t xml:space="preserve">inancial hardships. </w:t>
            </w:r>
            <w:r w:rsidR="00748492">
              <w:t>This includes the d</w:t>
            </w:r>
            <w:r w:rsidR="50E90AA2">
              <w:t xml:space="preserve">iscounts </w:t>
            </w:r>
            <w:r w:rsidR="245499F0">
              <w:t xml:space="preserve">which </w:t>
            </w:r>
            <w:r w:rsidR="50E90AA2">
              <w:t xml:space="preserve">are available across the Bay </w:t>
            </w:r>
            <w:r w:rsidR="5DAB4A89">
              <w:t xml:space="preserve">for residents </w:t>
            </w:r>
            <w:r w:rsidR="4ADA82C4">
              <w:t>who have signed up to</w:t>
            </w:r>
            <w:r w:rsidR="50E90AA2">
              <w:t xml:space="preserve"> the MyBay discount card</w:t>
            </w:r>
            <w:r w:rsidR="438A4CCB">
              <w:t>.</w:t>
            </w:r>
          </w:p>
          <w:p w14:paraId="32DB32B9" w14:textId="19F36481" w:rsidR="006126ED" w:rsidRDefault="004C34B3" w:rsidP="1AD6D21D">
            <w:pPr>
              <w:spacing w:line="240" w:lineRule="auto"/>
            </w:pPr>
            <w:r>
              <w:t xml:space="preserve">Where available, this information has been included in the evidence for each group of people with protected characteristics below. Other data included within the EIA has been sourced from the Joint Strategic Needs Assessment. </w:t>
            </w:r>
          </w:p>
          <w:p w14:paraId="0AAE748F" w14:textId="77777777" w:rsidR="006126ED" w:rsidRDefault="006126ED" w:rsidP="004C34B3">
            <w:pPr>
              <w:spacing w:line="240" w:lineRule="auto"/>
            </w:pPr>
          </w:p>
          <w:p w14:paraId="046B4192" w14:textId="782D1423" w:rsidR="004C34B3" w:rsidRDefault="006126ED" w:rsidP="004C34B3">
            <w:pPr>
              <w:spacing w:line="240" w:lineRule="auto"/>
            </w:pPr>
            <w:r>
              <w:t xml:space="preserve">It is proposed that fees and charges across Council services will </w:t>
            </w:r>
            <w:r w:rsidR="47A503D7">
              <w:t>increase</w:t>
            </w:r>
            <w:r>
              <w:t xml:space="preserve"> by an average of 3.5% for 2025/26 to help offset increased pay cost and price inflation. There will be some exceptions, particularly where the rates are set nationally. </w:t>
            </w:r>
          </w:p>
          <w:p w14:paraId="3FCCDBC3" w14:textId="77777777" w:rsidR="004C34B3" w:rsidRDefault="004C34B3" w:rsidP="004C34B3">
            <w:pPr>
              <w:spacing w:line="240" w:lineRule="auto"/>
            </w:pPr>
          </w:p>
          <w:p w14:paraId="726EA435" w14:textId="77777777" w:rsidR="004C34B3" w:rsidRDefault="004C34B3" w:rsidP="004C34B3">
            <w:pPr>
              <w:spacing w:line="240" w:lineRule="auto"/>
            </w:pPr>
            <w:r w:rsidRPr="004C34B3">
              <w:rPr>
                <w:b/>
                <w:bCs/>
              </w:rPr>
              <w:t>Budget consultation</w:t>
            </w:r>
            <w:r>
              <w:t xml:space="preserve"> </w:t>
            </w:r>
          </w:p>
          <w:p w14:paraId="6F38B1C9" w14:textId="575522B2" w:rsidR="004C34B3" w:rsidRPr="004C34B3" w:rsidRDefault="004C34B3" w:rsidP="79BD0FDA">
            <w:pPr>
              <w:spacing w:line="240" w:lineRule="auto"/>
              <w:rPr>
                <w:shd w:val="clear" w:color="auto" w:fill="E6E6E6"/>
              </w:rPr>
            </w:pPr>
            <w:r>
              <w:t xml:space="preserve">Cabinet </w:t>
            </w:r>
            <w:r w:rsidR="47F14891">
              <w:t>published</w:t>
            </w:r>
            <w:r>
              <w:t xml:space="preserve"> its draft budget proposals for consultation. During the consultation period, feedback </w:t>
            </w:r>
            <w:r w:rsidR="324A6551">
              <w:t>was</w:t>
            </w:r>
            <w:r w:rsidR="23587E0A">
              <w:t xml:space="preserve"> </w:t>
            </w:r>
            <w:r>
              <w:t xml:space="preserve">gathered through an online questionnaire. To ensure that those who participate in our engagement activities are representative of the local community, respondents </w:t>
            </w:r>
            <w:r w:rsidR="4D3E71B8">
              <w:t xml:space="preserve">were </w:t>
            </w:r>
            <w:r>
              <w:t xml:space="preserve">asked for demographic information </w:t>
            </w:r>
            <w:r w:rsidR="28A0109B">
              <w:t>to</w:t>
            </w:r>
            <w:r>
              <w:t xml:space="preserve"> help us identify any patterns in our engagement activities. </w:t>
            </w:r>
            <w:r w:rsidR="40002F04">
              <w:t xml:space="preserve">A summary of the consultation findings will be published alongside the final budget papers. </w:t>
            </w:r>
          </w:p>
        </w:tc>
      </w:tr>
      <w:tr w:rsidR="003C21AE" w:rsidRPr="001B3442" w14:paraId="44C85853"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08A0BF" w14:textId="77777777" w:rsidR="001B3442" w:rsidRPr="001B3442" w:rsidRDefault="001B3442" w:rsidP="00225130">
            <w:pPr>
              <w:spacing w:line="240" w:lineRule="auto"/>
              <w:rPr>
                <w:rFonts w:cstheme="minorHAnsi"/>
                <w:szCs w:val="24"/>
              </w:rPr>
            </w:pPr>
            <w:r w:rsidRPr="001B3442">
              <w:rPr>
                <w:rFonts w:cstheme="minorHAnsi"/>
                <w:b/>
                <w:bCs/>
                <w:szCs w:val="24"/>
              </w:rPr>
              <w:lastRenderedPageBreak/>
              <w:t xml:space="preserve">Protected characteristics under the Equality Act and groups with increased vulnerability </w:t>
            </w:r>
          </w:p>
        </w:tc>
        <w:tc>
          <w:tcPr>
            <w:tcW w:w="34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0BB7A5" w14:textId="4E9BD35E" w:rsidR="001B3442" w:rsidRPr="001B3442" w:rsidRDefault="001B3442" w:rsidP="00225130">
            <w:pPr>
              <w:spacing w:line="240" w:lineRule="auto"/>
              <w:rPr>
                <w:rFonts w:cstheme="minorHAnsi"/>
                <w:szCs w:val="24"/>
              </w:rPr>
            </w:pPr>
            <w:r w:rsidRPr="001B3442">
              <w:rPr>
                <w:rFonts w:cstheme="minorHAnsi"/>
                <w:b/>
                <w:bCs/>
                <w:szCs w:val="24"/>
              </w:rPr>
              <w:t xml:space="preserve">Data and insight </w:t>
            </w:r>
          </w:p>
        </w:tc>
        <w:tc>
          <w:tcPr>
            <w:tcW w:w="462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191233D" w14:textId="4D1B97FE" w:rsidR="001B3442" w:rsidRPr="001B3442" w:rsidRDefault="001B3442" w:rsidP="00225130">
            <w:pPr>
              <w:spacing w:line="240" w:lineRule="auto"/>
              <w:rPr>
                <w:rFonts w:cstheme="minorHAnsi"/>
                <w:szCs w:val="24"/>
              </w:rPr>
            </w:pPr>
            <w:r w:rsidRPr="001B3442">
              <w:rPr>
                <w:rFonts w:cstheme="minorHAnsi"/>
                <w:b/>
                <w:bCs/>
                <w:szCs w:val="24"/>
              </w:rPr>
              <w:t xml:space="preserve">Equality considerations (including any adverse impacts) </w:t>
            </w:r>
          </w:p>
        </w:tc>
        <w:tc>
          <w:tcPr>
            <w:tcW w:w="2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019D06" w14:textId="3DE9B593" w:rsidR="001B3442" w:rsidRPr="001B3442" w:rsidRDefault="001B3442" w:rsidP="00225130">
            <w:pPr>
              <w:spacing w:line="240" w:lineRule="auto"/>
              <w:rPr>
                <w:rFonts w:cstheme="minorHAnsi"/>
                <w:szCs w:val="24"/>
              </w:rPr>
            </w:pPr>
            <w:r w:rsidRPr="001B3442">
              <w:rPr>
                <w:rFonts w:cstheme="minorHAnsi"/>
                <w:b/>
                <w:bCs/>
                <w:szCs w:val="24"/>
              </w:rPr>
              <w:t xml:space="preserve">Mitigation activities </w:t>
            </w:r>
          </w:p>
        </w:tc>
        <w:tc>
          <w:tcPr>
            <w:tcW w:w="1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F1BC0F" w14:textId="4399B176" w:rsidR="001B3442" w:rsidRPr="00AD1231" w:rsidRDefault="001B3442" w:rsidP="1AD6D21D">
            <w:pPr>
              <w:spacing w:line="240" w:lineRule="auto"/>
              <w:rPr>
                <w:b/>
                <w:bCs/>
              </w:rPr>
            </w:pPr>
            <w:r w:rsidRPr="1AD6D21D">
              <w:rPr>
                <w:b/>
                <w:bCs/>
                <w:shd w:val="clear" w:color="auto" w:fill="E6E6E6"/>
              </w:rPr>
              <w:t xml:space="preserve">Responsible department and </w:t>
            </w:r>
            <w:bookmarkStart w:id="1" w:name="_Int_ei92OpYb"/>
            <w:r w:rsidRPr="1AD6D21D">
              <w:rPr>
                <w:b/>
                <w:bCs/>
                <w:shd w:val="clear" w:color="auto" w:fill="E6E6E6"/>
              </w:rPr>
              <w:t>timeframe</w:t>
            </w:r>
            <w:bookmarkEnd w:id="1"/>
            <w:r w:rsidRPr="1AD6D21D">
              <w:rPr>
                <w:b/>
                <w:bCs/>
                <w:shd w:val="clear" w:color="auto" w:fill="E6E6E6"/>
              </w:rPr>
              <w:t xml:space="preserve"> </w:t>
            </w:r>
            <w:r w:rsidR="001E5F5F" w:rsidRPr="1AD6D21D">
              <w:rPr>
                <w:b/>
                <w:bCs/>
              </w:rPr>
              <w:t>for implementing mitigation activities</w:t>
            </w:r>
          </w:p>
        </w:tc>
      </w:tr>
      <w:tr w:rsidR="003C21AE" w:rsidRPr="001B3442" w14:paraId="02143D59"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C878FD" w14:textId="77777777" w:rsidR="001B3442" w:rsidRDefault="001B3442">
            <w:pPr>
              <w:spacing w:line="240" w:lineRule="auto"/>
              <w:rPr>
                <w:rFonts w:cstheme="minorHAnsi"/>
                <w:szCs w:val="24"/>
              </w:rPr>
            </w:pPr>
            <w:r w:rsidRPr="001B3442">
              <w:rPr>
                <w:rFonts w:cstheme="minorHAnsi"/>
                <w:szCs w:val="24"/>
              </w:rPr>
              <w:t>Age</w:t>
            </w:r>
          </w:p>
          <w:p w14:paraId="54F14FED" w14:textId="0C8DF680" w:rsidR="004C34B3" w:rsidRPr="001B3442" w:rsidRDefault="004C34B3">
            <w:pPr>
              <w:spacing w:line="240" w:lineRule="auto"/>
              <w:rPr>
                <w:rFonts w:cstheme="minorHAnsi"/>
                <w:szCs w:val="24"/>
              </w:rPr>
            </w:pPr>
          </w:p>
        </w:tc>
        <w:tc>
          <w:tcPr>
            <w:tcW w:w="3460" w:type="dxa"/>
            <w:tcBorders>
              <w:top w:val="single" w:sz="4" w:space="0" w:color="auto"/>
              <w:left w:val="single" w:sz="4" w:space="0" w:color="auto"/>
              <w:bottom w:val="single" w:sz="4" w:space="0" w:color="auto"/>
              <w:right w:val="single" w:sz="4" w:space="0" w:color="auto"/>
            </w:tcBorders>
          </w:tcPr>
          <w:p w14:paraId="489426E4" w14:textId="77777777" w:rsidR="001B3442" w:rsidRPr="00E46465" w:rsidRDefault="001B3442" w:rsidP="00647189">
            <w:pPr>
              <w:spacing w:line="240" w:lineRule="auto"/>
              <w:rPr>
                <w:rFonts w:cstheme="minorHAnsi"/>
                <w:szCs w:val="24"/>
              </w:rPr>
            </w:pPr>
            <w:r w:rsidRPr="00E46465">
              <w:rPr>
                <w:rFonts w:cstheme="minorHAnsi"/>
                <w:szCs w:val="24"/>
              </w:rPr>
              <w:t>18 per cent of Torbay residents are under 18 years old.</w:t>
            </w:r>
          </w:p>
          <w:p w14:paraId="76A4D2F7" w14:textId="77777777" w:rsidR="001B3442" w:rsidRPr="00E46465" w:rsidRDefault="001B3442" w:rsidP="00647189">
            <w:pPr>
              <w:spacing w:line="240" w:lineRule="auto"/>
              <w:rPr>
                <w:rFonts w:cstheme="minorHAnsi"/>
                <w:szCs w:val="24"/>
              </w:rPr>
            </w:pPr>
            <w:r w:rsidRPr="00E46465">
              <w:rPr>
                <w:rFonts w:cstheme="minorHAnsi"/>
                <w:szCs w:val="24"/>
              </w:rPr>
              <w:lastRenderedPageBreak/>
              <w:t>55 per cent of Torbay residents are aged between 18 to 64 years old.</w:t>
            </w:r>
          </w:p>
          <w:p w14:paraId="66551F13" w14:textId="77777777" w:rsidR="001B3442" w:rsidRDefault="001B3442" w:rsidP="00647189">
            <w:pPr>
              <w:spacing w:line="240" w:lineRule="auto"/>
              <w:rPr>
                <w:rFonts w:cstheme="minorHAnsi"/>
                <w:szCs w:val="24"/>
              </w:rPr>
            </w:pPr>
            <w:r w:rsidRPr="1AD6D21D">
              <w:t>27 per cent of Torbay residents are aged 65 and older.</w:t>
            </w:r>
          </w:p>
          <w:p w14:paraId="2EDB45FA" w14:textId="0B180E80" w:rsidR="1AD6D21D" w:rsidRDefault="1AD6D21D" w:rsidP="1AD6D21D">
            <w:pPr>
              <w:spacing w:line="240" w:lineRule="auto"/>
              <w:rPr>
                <w:rFonts w:cs="Arial"/>
              </w:rPr>
            </w:pPr>
          </w:p>
          <w:p w14:paraId="2DB635F9" w14:textId="4AE940E0" w:rsidR="004C34B3" w:rsidRPr="00E46465" w:rsidRDefault="5D208AB2" w:rsidP="1AD6D21D">
            <w:pPr>
              <w:spacing w:line="240" w:lineRule="auto"/>
            </w:pPr>
            <w:r w:rsidRPr="1AD6D21D">
              <w:rPr>
                <w:rFonts w:cs="Arial"/>
              </w:rPr>
              <w:t>Although poverty levels are lower than they were 20 years ago,</w:t>
            </w:r>
            <w:r w:rsidR="0361CDDD" w:rsidRPr="1AD6D21D">
              <w:rPr>
                <w:rFonts w:cs="Arial"/>
              </w:rPr>
              <w:t xml:space="preserve"> </w:t>
            </w:r>
            <w:r w:rsidRPr="1AD6D21D">
              <w:rPr>
                <w:rFonts w:cs="Arial"/>
              </w:rPr>
              <w:t>figures show 2.1 million (18 per cent) of pensioners in the UK live in poverty – Age UK Pensioner Poverty report 2022.</w:t>
            </w:r>
          </w:p>
          <w:p w14:paraId="21370D67" w14:textId="549CB93A" w:rsidR="004C34B3" w:rsidRPr="00E46465" w:rsidRDefault="5D208AB2" w:rsidP="1AD6D21D">
            <w:pPr>
              <w:spacing w:line="240" w:lineRule="auto"/>
            </w:pPr>
            <w:r w:rsidRPr="1AD6D21D">
              <w:rPr>
                <w:rFonts w:cs="Arial"/>
              </w:rPr>
              <w:t xml:space="preserve"> </w:t>
            </w:r>
          </w:p>
          <w:p w14:paraId="13B2E2F9" w14:textId="6F79C00C" w:rsidR="004C34B3" w:rsidRPr="00E46465" w:rsidRDefault="5D208AB2" w:rsidP="1AD6D21D">
            <w:pPr>
              <w:spacing w:line="240" w:lineRule="auto"/>
              <w:rPr>
                <w:rFonts w:cs="Arial"/>
              </w:rPr>
            </w:pPr>
            <w:r w:rsidRPr="1AD6D21D">
              <w:rPr>
                <w:rFonts w:cs="Arial"/>
              </w:rPr>
              <w:t>Pension age households represent 45.03% of the current Council Tax Support caseload.</w:t>
            </w:r>
          </w:p>
          <w:p w14:paraId="50E8D4D4" w14:textId="22FCCDB8" w:rsidR="004C34B3" w:rsidRPr="00E46465" w:rsidRDefault="004C34B3" w:rsidP="1AD6D21D">
            <w:pPr>
              <w:spacing w:line="240" w:lineRule="auto"/>
              <w:rPr>
                <w:rFonts w:cs="Arial"/>
              </w:rPr>
            </w:pPr>
          </w:p>
          <w:p w14:paraId="6ECA74A5" w14:textId="0E8039E1" w:rsidR="004C34B3" w:rsidRPr="00E46465" w:rsidRDefault="5D208AB2" w:rsidP="1AD6D21D">
            <w:pPr>
              <w:spacing w:line="240" w:lineRule="auto"/>
              <w:rPr>
                <w:rFonts w:cs="Arial"/>
              </w:rPr>
            </w:pPr>
            <w:r w:rsidRPr="1AD6D21D">
              <w:rPr>
                <w:rFonts w:cs="Arial"/>
              </w:rPr>
              <w:t>Around 57% of all working age households receiving Council Tax Support are single people, with 27% lone parents, 8% couples with children and just over 8% are couples with no children.</w:t>
            </w:r>
          </w:p>
          <w:p w14:paraId="60C23BE9" w14:textId="4DF2A498" w:rsidR="004C34B3" w:rsidRPr="00E46465" w:rsidRDefault="004C34B3" w:rsidP="1AD6D21D">
            <w:pPr>
              <w:spacing w:line="240" w:lineRule="auto"/>
              <w:rPr>
                <w:rFonts w:cs="Arial"/>
              </w:rPr>
            </w:pPr>
          </w:p>
          <w:p w14:paraId="29A09F16" w14:textId="240B67F5" w:rsidR="004C34B3" w:rsidRPr="00E46465" w:rsidRDefault="004C34B3" w:rsidP="1AD6D21D">
            <w:pPr>
              <w:spacing w:line="240" w:lineRule="auto"/>
              <w:rPr>
                <w:rFonts w:cs="Arial"/>
              </w:rPr>
            </w:pPr>
          </w:p>
          <w:p w14:paraId="6A845B7D" w14:textId="65FDBF47" w:rsidR="004C34B3" w:rsidRPr="00E46465" w:rsidRDefault="004C34B3" w:rsidP="1AD6D21D">
            <w:pPr>
              <w:spacing w:line="240" w:lineRule="auto"/>
              <w:rPr>
                <w:rFonts w:cs="Arial"/>
              </w:rPr>
            </w:pPr>
          </w:p>
          <w:p w14:paraId="2C3E3B47" w14:textId="54908C13" w:rsidR="004C34B3" w:rsidRPr="00E46465" w:rsidRDefault="004C34B3" w:rsidP="1AD6D21D">
            <w:pPr>
              <w:spacing w:line="240" w:lineRule="auto"/>
              <w:rPr>
                <w:rFonts w:cs="Arial"/>
              </w:rPr>
            </w:pPr>
          </w:p>
        </w:tc>
        <w:tc>
          <w:tcPr>
            <w:tcW w:w="4629" w:type="dxa"/>
            <w:tcBorders>
              <w:top w:val="single" w:sz="4" w:space="0" w:color="auto"/>
              <w:left w:val="single" w:sz="4" w:space="0" w:color="auto"/>
              <w:bottom w:val="single" w:sz="4" w:space="0" w:color="auto"/>
              <w:right w:val="single" w:sz="4" w:space="0" w:color="auto"/>
            </w:tcBorders>
          </w:tcPr>
          <w:p w14:paraId="77100572" w14:textId="68F9AF2B" w:rsidR="006C445B" w:rsidRPr="006C445B" w:rsidRDefault="0066259F">
            <w:pPr>
              <w:spacing w:line="240" w:lineRule="auto"/>
              <w:rPr>
                <w:rFonts w:cstheme="minorHAnsi"/>
                <w:b/>
                <w:bCs/>
                <w:szCs w:val="24"/>
              </w:rPr>
            </w:pPr>
            <w:r>
              <w:rPr>
                <w:rFonts w:cstheme="minorHAnsi"/>
                <w:b/>
                <w:bCs/>
                <w:szCs w:val="24"/>
              </w:rPr>
              <w:lastRenderedPageBreak/>
              <w:t>Financial Sustainability Plans</w:t>
            </w:r>
            <w:r w:rsidR="004C34B3" w:rsidRPr="006C445B">
              <w:rPr>
                <w:rFonts w:cstheme="minorHAnsi"/>
                <w:b/>
                <w:bCs/>
                <w:szCs w:val="24"/>
              </w:rPr>
              <w:t xml:space="preserve"> </w:t>
            </w:r>
          </w:p>
          <w:p w14:paraId="0ED3E09C" w14:textId="086E674E" w:rsidR="001B3442" w:rsidRDefault="004C34B3" w:rsidP="06B49936">
            <w:pPr>
              <w:spacing w:line="240" w:lineRule="auto"/>
            </w:pPr>
            <w:r>
              <w:t>Due to their overrepresentation as service users, older people could be disproportionately impacted by</w:t>
            </w:r>
            <w:r w:rsidR="0AA73905">
              <w:t xml:space="preserve"> budget </w:t>
            </w:r>
            <w:r w:rsidR="0AA73905">
              <w:lastRenderedPageBreak/>
              <w:t>management decisions in</w:t>
            </w:r>
            <w:r>
              <w:t xml:space="preserve"> </w:t>
            </w:r>
            <w:r w:rsidR="6C3E1997">
              <w:t>A</w:t>
            </w:r>
            <w:r w:rsidR="00A06677">
              <w:t xml:space="preserve">dult </w:t>
            </w:r>
            <w:r w:rsidR="2FDCEE97">
              <w:t>S</w:t>
            </w:r>
            <w:r w:rsidR="00A06677">
              <w:t xml:space="preserve">ocial </w:t>
            </w:r>
            <w:r w:rsidR="11503D21">
              <w:t>C</w:t>
            </w:r>
            <w:r w:rsidR="00A06677">
              <w:t>are.</w:t>
            </w:r>
          </w:p>
          <w:p w14:paraId="0516EE01" w14:textId="77777777" w:rsidR="004C34B3" w:rsidRDefault="004C34B3">
            <w:pPr>
              <w:spacing w:line="240" w:lineRule="auto"/>
              <w:rPr>
                <w:rFonts w:cstheme="minorHAnsi"/>
                <w:szCs w:val="24"/>
              </w:rPr>
            </w:pPr>
          </w:p>
          <w:p w14:paraId="36256EB8" w14:textId="00B0C923" w:rsidR="004C34B3" w:rsidRDefault="004C34B3" w:rsidP="06B49936">
            <w:pPr>
              <w:spacing w:line="240" w:lineRule="auto"/>
            </w:pPr>
            <w:r>
              <w:t xml:space="preserve">Due to their overrepresentation as service user children and younger people could be disproportionately impacted by </w:t>
            </w:r>
            <w:r w:rsidR="0066259F">
              <w:t>Financial Sustainability Plans</w:t>
            </w:r>
            <w:r>
              <w:t xml:space="preserve"> in Children’s Services especially around </w:t>
            </w:r>
            <w:r w:rsidR="00A06677">
              <w:t xml:space="preserve">the Locality Model and </w:t>
            </w:r>
            <w:r w:rsidR="6EF01522">
              <w:t>h</w:t>
            </w:r>
            <w:r>
              <w:t xml:space="preserve">ome to </w:t>
            </w:r>
            <w:r w:rsidR="761B6EF0">
              <w:t>s</w:t>
            </w:r>
            <w:r>
              <w:t xml:space="preserve">chool </w:t>
            </w:r>
            <w:r w:rsidR="2B601F88">
              <w:t>t</w:t>
            </w:r>
            <w:r>
              <w:t>ransport budget decisions</w:t>
            </w:r>
            <w:r w:rsidR="4817CA06">
              <w:t xml:space="preserve"> and Children's Social Care Placements</w:t>
            </w:r>
            <w:r>
              <w:t>.</w:t>
            </w:r>
          </w:p>
          <w:p w14:paraId="3FA93C99" w14:textId="3726D799" w:rsidR="1AD6D21D" w:rsidRDefault="1AD6D21D" w:rsidP="1AD6D21D">
            <w:pPr>
              <w:spacing w:line="240" w:lineRule="auto"/>
            </w:pPr>
          </w:p>
          <w:p w14:paraId="1FBA2D86" w14:textId="23E1A802" w:rsidR="56F8F4E9" w:rsidRDefault="56F8F4E9" w:rsidP="1AD6D21D">
            <w:pPr>
              <w:spacing w:line="240" w:lineRule="auto"/>
              <w:rPr>
                <w:b/>
                <w:bCs/>
              </w:rPr>
            </w:pPr>
            <w:r w:rsidRPr="1AD6D21D">
              <w:rPr>
                <w:b/>
                <w:bCs/>
              </w:rPr>
              <w:t>Housing Needs</w:t>
            </w:r>
          </w:p>
          <w:p w14:paraId="01FF83F0" w14:textId="07496D50" w:rsidR="56F8F4E9" w:rsidRDefault="56F8F4E9" w:rsidP="1AD6D21D">
            <w:pPr>
              <w:spacing w:line="240" w:lineRule="auto"/>
            </w:pPr>
            <w:r>
              <w:t xml:space="preserve">The current level of the cost of living and the increasing cost of accommodation costs is especially challenging for families, younger </w:t>
            </w:r>
            <w:r w:rsidR="1E5F7BBC">
              <w:t>people,</w:t>
            </w:r>
            <w:r>
              <w:t xml:space="preserve"> and older people. </w:t>
            </w:r>
          </w:p>
          <w:p w14:paraId="31189E01" w14:textId="77777777" w:rsidR="004C34B3" w:rsidRPr="006C445B" w:rsidRDefault="004C34B3">
            <w:pPr>
              <w:spacing w:line="240" w:lineRule="auto"/>
              <w:rPr>
                <w:rFonts w:cstheme="minorHAnsi"/>
                <w:b/>
                <w:bCs/>
                <w:szCs w:val="24"/>
              </w:rPr>
            </w:pPr>
          </w:p>
          <w:p w14:paraId="447C0A48" w14:textId="77777777" w:rsidR="006C445B" w:rsidRPr="006C445B" w:rsidRDefault="004C34B3">
            <w:pPr>
              <w:spacing w:line="240" w:lineRule="auto"/>
              <w:rPr>
                <w:rFonts w:cstheme="minorHAnsi"/>
                <w:b/>
                <w:bCs/>
                <w:szCs w:val="24"/>
              </w:rPr>
            </w:pPr>
            <w:r w:rsidRPr="006C445B">
              <w:rPr>
                <w:rFonts w:cstheme="minorHAnsi"/>
                <w:b/>
                <w:bCs/>
                <w:szCs w:val="24"/>
              </w:rPr>
              <w:t>Council Tax and fees and charges</w:t>
            </w:r>
          </w:p>
          <w:p w14:paraId="6A74DBD9" w14:textId="65A349BD" w:rsidR="004C34B3" w:rsidRPr="001B3442" w:rsidRDefault="004C34B3">
            <w:pPr>
              <w:spacing w:line="240" w:lineRule="auto"/>
              <w:rPr>
                <w:rFonts w:cstheme="minorHAnsi"/>
                <w:szCs w:val="24"/>
              </w:rPr>
            </w:pPr>
            <w:r w:rsidRPr="004C34B3">
              <w:rPr>
                <w:rFonts w:cstheme="minorHAnsi"/>
                <w:szCs w:val="24"/>
              </w:rPr>
              <w:t>Older people may be disproportionately impacted by increases to Council Tax and fees and charges due to the increased likelihood of them experiencing poverty during retirement. Younger people may be disproportionately impacted by increases to Council Tax due to the increased likelihood of them experiencing low earnings.</w:t>
            </w:r>
          </w:p>
        </w:tc>
        <w:tc>
          <w:tcPr>
            <w:tcW w:w="2844" w:type="dxa"/>
            <w:tcBorders>
              <w:top w:val="single" w:sz="4" w:space="0" w:color="auto"/>
              <w:left w:val="single" w:sz="4" w:space="0" w:color="auto"/>
              <w:bottom w:val="single" w:sz="4" w:space="0" w:color="auto"/>
              <w:right w:val="single" w:sz="4" w:space="0" w:color="auto"/>
            </w:tcBorders>
          </w:tcPr>
          <w:p w14:paraId="54CAAB08" w14:textId="7D0593D7" w:rsidR="001B3442" w:rsidRDefault="0066259F" w:rsidP="1AD6D21D">
            <w:pPr>
              <w:spacing w:line="240" w:lineRule="auto"/>
            </w:pPr>
            <w:r w:rsidRPr="1AD6D21D">
              <w:rPr>
                <w:b/>
                <w:bCs/>
              </w:rPr>
              <w:lastRenderedPageBreak/>
              <w:t>Financial Sustainability Plans</w:t>
            </w:r>
            <w:r w:rsidR="001C1EA3" w:rsidRPr="1AD6D21D">
              <w:t xml:space="preserve"> Services will continue to take a case-by-case </w:t>
            </w:r>
            <w:r w:rsidR="001C1EA3" w:rsidRPr="1AD6D21D">
              <w:lastRenderedPageBreak/>
              <w:t xml:space="preserve">approach and person/ child centred approach in their delivery of services to ensure that individuals receive support tailored to their individual needs and circumstances. To ensure that equality is fully considered, individual decisions will be further assessed as proposals develop and go through the </w:t>
            </w:r>
            <w:r w:rsidR="25B9B702" w:rsidRPr="1AD6D21D">
              <w:t>decision-making</w:t>
            </w:r>
            <w:r w:rsidR="001C1EA3" w:rsidRPr="1AD6D21D">
              <w:t xml:space="preserve"> cycle independently. In addition, where relevant existing council policies will continue to be followed to ensure that service delivery is equitable.</w:t>
            </w:r>
          </w:p>
          <w:p w14:paraId="69522511" w14:textId="534689D4" w:rsidR="1AD6D21D" w:rsidRDefault="1AD6D21D" w:rsidP="1AD6D21D">
            <w:pPr>
              <w:spacing w:line="240" w:lineRule="auto"/>
            </w:pPr>
          </w:p>
          <w:p w14:paraId="762958C9" w14:textId="23E1A802" w:rsidR="1FB82FE4" w:rsidRDefault="1FB82FE4" w:rsidP="1AD6D21D">
            <w:pPr>
              <w:spacing w:line="240" w:lineRule="auto"/>
              <w:rPr>
                <w:b/>
                <w:bCs/>
              </w:rPr>
            </w:pPr>
            <w:r w:rsidRPr="1AD6D21D">
              <w:rPr>
                <w:b/>
                <w:bCs/>
              </w:rPr>
              <w:t>Housing Needs</w:t>
            </w:r>
          </w:p>
          <w:p w14:paraId="28F30C9B" w14:textId="6CFEDF84" w:rsidR="1FB82FE4" w:rsidRDefault="1FB82FE4" w:rsidP="1AD6D21D">
            <w:pPr>
              <w:spacing w:line="240" w:lineRule="auto"/>
            </w:pPr>
            <w:r w:rsidRPr="1AD6D21D">
              <w:t>All individuals, and families, will continue to be assessed based on their identified needs</w:t>
            </w:r>
            <w:r w:rsidR="7E254D2F" w:rsidRPr="1AD6D21D">
              <w:t xml:space="preserve">. We will continue to monitor data to identify trends in those experiencing housing challenges. </w:t>
            </w:r>
          </w:p>
          <w:p w14:paraId="4C0B2B45" w14:textId="77777777" w:rsidR="001C1EA3" w:rsidRDefault="001C1EA3">
            <w:pPr>
              <w:spacing w:line="240" w:lineRule="auto"/>
              <w:rPr>
                <w:rFonts w:cstheme="minorHAnsi"/>
                <w:szCs w:val="24"/>
              </w:rPr>
            </w:pPr>
          </w:p>
          <w:p w14:paraId="7180506B" w14:textId="77777777" w:rsidR="006B2C3E" w:rsidRDefault="001C1EA3" w:rsidP="06B49936">
            <w:pPr>
              <w:spacing w:line="240" w:lineRule="auto"/>
            </w:pPr>
            <w:r w:rsidRPr="06B49936">
              <w:rPr>
                <w:b/>
                <w:bCs/>
              </w:rPr>
              <w:t>Council Tax and fees</w:t>
            </w:r>
            <w:r w:rsidRPr="06B49936">
              <w:t xml:space="preserve"> </w:t>
            </w:r>
            <w:r w:rsidRPr="06B49936">
              <w:rPr>
                <w:b/>
                <w:bCs/>
              </w:rPr>
              <w:t>and charges</w:t>
            </w:r>
            <w:r w:rsidRPr="06B49936">
              <w:t xml:space="preserve"> </w:t>
            </w:r>
          </w:p>
          <w:p w14:paraId="2022F17F" w14:textId="6D7D0D9E" w:rsidR="001C1EA3" w:rsidRPr="001B3442" w:rsidRDefault="001C1EA3">
            <w:pPr>
              <w:spacing w:line="240" w:lineRule="auto"/>
              <w:rPr>
                <w:rFonts w:cstheme="minorHAnsi"/>
                <w:szCs w:val="24"/>
              </w:rPr>
            </w:pPr>
            <w:r w:rsidRPr="001C1EA3">
              <w:rPr>
                <w:rFonts w:cstheme="minorHAnsi"/>
                <w:szCs w:val="24"/>
              </w:rPr>
              <w:lastRenderedPageBreak/>
              <w:t>A Council Tax Support Scheme is in place which limited the amount that eligible applicants are required to pay to 75%. The Exceptional Hardship Fund is also available to provide financial support to eligible applicants facing exceptional financial hardship.</w:t>
            </w:r>
          </w:p>
        </w:tc>
        <w:tc>
          <w:tcPr>
            <w:tcW w:w="1824" w:type="dxa"/>
            <w:tcBorders>
              <w:top w:val="single" w:sz="4" w:space="0" w:color="auto"/>
              <w:left w:val="single" w:sz="4" w:space="0" w:color="auto"/>
              <w:bottom w:val="single" w:sz="4" w:space="0" w:color="auto"/>
              <w:right w:val="single" w:sz="4" w:space="0" w:color="auto"/>
            </w:tcBorders>
          </w:tcPr>
          <w:p w14:paraId="17C1857C" w14:textId="12620117" w:rsidR="00A219FB" w:rsidRDefault="001C1EA3" w:rsidP="06B49936">
            <w:pPr>
              <w:spacing w:line="240" w:lineRule="auto"/>
            </w:pPr>
            <w:r w:rsidRPr="06B49936">
              <w:lastRenderedPageBreak/>
              <w:t xml:space="preserve">Director of </w:t>
            </w:r>
            <w:r w:rsidR="003E297A" w:rsidRPr="06B49936">
              <w:t xml:space="preserve">Adult and Community Services and </w:t>
            </w:r>
            <w:r w:rsidR="00DD3B2F" w:rsidRPr="06B49936">
              <w:lastRenderedPageBreak/>
              <w:t xml:space="preserve">Director of </w:t>
            </w:r>
            <w:r w:rsidRPr="06B49936">
              <w:t xml:space="preserve">Children’s Services to assess the impact of budget savings within their departments. </w:t>
            </w:r>
          </w:p>
          <w:p w14:paraId="580FED01" w14:textId="77777777" w:rsidR="00A219FB" w:rsidRDefault="00A219FB" w:rsidP="06B49936">
            <w:pPr>
              <w:spacing w:line="240" w:lineRule="auto"/>
            </w:pPr>
          </w:p>
          <w:p w14:paraId="2F871C2C" w14:textId="1D8B9EE5" w:rsidR="001B3442" w:rsidRPr="00AD1231" w:rsidRDefault="00A219FB" w:rsidP="06B49936">
            <w:pPr>
              <w:spacing w:line="240" w:lineRule="auto"/>
            </w:pPr>
            <w:r>
              <w:t xml:space="preserve">Director of </w:t>
            </w:r>
            <w:r w:rsidR="001C1EA3">
              <w:t xml:space="preserve">Financial Services </w:t>
            </w:r>
            <w:r>
              <w:t>to c</w:t>
            </w:r>
            <w:r w:rsidR="001C1EA3">
              <w:t>ontinue to raise awareness of the Council Tax Support Scheme.</w:t>
            </w:r>
          </w:p>
          <w:p w14:paraId="543A0F2D" w14:textId="6F6E9579" w:rsidR="001B3442" w:rsidRPr="00AD1231" w:rsidRDefault="001B3442" w:rsidP="06B49936">
            <w:pPr>
              <w:spacing w:line="240" w:lineRule="auto"/>
            </w:pPr>
          </w:p>
          <w:p w14:paraId="3597A8D9" w14:textId="36AD0E54" w:rsidR="001B3442" w:rsidRPr="00AD1231" w:rsidRDefault="001B3442" w:rsidP="06B49936">
            <w:pPr>
              <w:spacing w:line="240" w:lineRule="auto"/>
            </w:pPr>
          </w:p>
          <w:p w14:paraId="200F6937" w14:textId="6D24529C" w:rsidR="001B3442" w:rsidRPr="00AD1231" w:rsidRDefault="001B3442" w:rsidP="06B49936">
            <w:pPr>
              <w:spacing w:line="240" w:lineRule="auto"/>
            </w:pPr>
          </w:p>
          <w:p w14:paraId="4216772E" w14:textId="6E25FC3C" w:rsidR="001B3442" w:rsidRPr="00AD1231" w:rsidRDefault="001B3442" w:rsidP="06B49936">
            <w:pPr>
              <w:spacing w:line="240" w:lineRule="auto"/>
            </w:pPr>
          </w:p>
          <w:p w14:paraId="1668AC8B" w14:textId="66930926" w:rsidR="001B3442" w:rsidRPr="00AD1231" w:rsidRDefault="2914036D" w:rsidP="1AD6D21D">
            <w:pPr>
              <w:spacing w:line="240" w:lineRule="auto"/>
            </w:pPr>
            <w:r w:rsidRPr="1AD6D21D">
              <w:t xml:space="preserve">Director of Adult and Community Services to continue to ensure that the service is delivered in an equitable manner  </w:t>
            </w:r>
          </w:p>
          <w:p w14:paraId="77974A8F" w14:textId="05582840" w:rsidR="001B3442" w:rsidRPr="00AD1231" w:rsidRDefault="001B3442" w:rsidP="06B49936">
            <w:pPr>
              <w:spacing w:line="240" w:lineRule="auto"/>
            </w:pPr>
          </w:p>
        </w:tc>
      </w:tr>
      <w:tr w:rsidR="003C21AE" w:rsidRPr="001B3442" w14:paraId="605D5388"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823A4D" w14:textId="154C8A2F" w:rsidR="001B3442" w:rsidRPr="001B3442" w:rsidRDefault="001B3442" w:rsidP="7A83E71A">
            <w:pPr>
              <w:spacing w:line="240" w:lineRule="auto"/>
            </w:pPr>
            <w:r w:rsidRPr="560ED390">
              <w:lastRenderedPageBreak/>
              <w:t xml:space="preserve">Carers </w:t>
            </w:r>
          </w:p>
        </w:tc>
        <w:tc>
          <w:tcPr>
            <w:tcW w:w="3460" w:type="dxa"/>
            <w:tcBorders>
              <w:top w:val="single" w:sz="4" w:space="0" w:color="auto"/>
              <w:left w:val="single" w:sz="4" w:space="0" w:color="auto"/>
              <w:bottom w:val="single" w:sz="4" w:space="0" w:color="auto"/>
              <w:right w:val="single" w:sz="4" w:space="0" w:color="auto"/>
            </w:tcBorders>
          </w:tcPr>
          <w:p w14:paraId="0A1F484D" w14:textId="77777777" w:rsidR="001B3442" w:rsidRDefault="001B3442" w:rsidP="1AD6D21D">
            <w:pPr>
              <w:spacing w:line="240" w:lineRule="auto"/>
            </w:pPr>
            <w:r w:rsidRPr="1AD6D21D">
              <w:t>At the time of the 2021 census there were 14,900 unpaid carers in Torbay. 5,185 of these provided 50 hours or more of care.</w:t>
            </w:r>
          </w:p>
          <w:p w14:paraId="044E9A2F" w14:textId="158496C7" w:rsidR="1AD6D21D" w:rsidRDefault="1AD6D21D" w:rsidP="1AD6D21D">
            <w:pPr>
              <w:spacing w:line="240" w:lineRule="auto"/>
            </w:pPr>
          </w:p>
          <w:p w14:paraId="76A97F80" w14:textId="22B4BD8D" w:rsidR="62C93A2B" w:rsidRDefault="62C93A2B" w:rsidP="1AD6D21D">
            <w:pPr>
              <w:spacing w:line="240" w:lineRule="auto"/>
            </w:pPr>
            <w:r w:rsidRPr="1AD6D21D">
              <w:t xml:space="preserve">Based on a survey of 13,000 unpaid carers, 16% are in debt </w:t>
            </w:r>
            <w:r w:rsidR="1E2497E3" w:rsidRPr="1AD6D21D">
              <w:t>because of</w:t>
            </w:r>
            <w:r w:rsidRPr="1AD6D21D">
              <w:t xml:space="preserve"> their caring role and their financial situation, increasing to 40% for unpaid carers in receipt of Carer’s Allowance – Carers UK report 2022.</w:t>
            </w:r>
          </w:p>
          <w:p w14:paraId="5B60F9EA" w14:textId="483B0557" w:rsidR="1AD6D21D" w:rsidRDefault="1AD6D21D" w:rsidP="1AD6D21D">
            <w:pPr>
              <w:rPr>
                <w:rFonts w:ascii="Arial" w:eastAsia="Arial" w:hAnsi="Arial" w:cs="Arial"/>
                <w:color w:val="000000" w:themeColor="text2"/>
                <w:szCs w:val="24"/>
              </w:rPr>
            </w:pPr>
          </w:p>
          <w:p w14:paraId="1D7A6E66" w14:textId="4A50751C" w:rsidR="604D77C5" w:rsidRDefault="604D77C5" w:rsidP="1AD6D21D">
            <w:pPr>
              <w:spacing w:line="240" w:lineRule="auto"/>
            </w:pPr>
            <w:r w:rsidRPr="1AD6D21D">
              <w:t>Council Tax Support</w:t>
            </w:r>
          </w:p>
          <w:p w14:paraId="2916D464" w14:textId="00DE292B" w:rsidR="604D77C5" w:rsidRDefault="604D77C5" w:rsidP="1AD6D21D">
            <w:pPr>
              <w:spacing w:line="240" w:lineRule="auto"/>
            </w:pPr>
            <w:r w:rsidRPr="1AD6D21D">
              <w:t>Standard Means Test:40</w:t>
            </w:r>
          </w:p>
          <w:p w14:paraId="4DB7A9B3" w14:textId="77777777" w:rsidR="004C34B3" w:rsidRDefault="004C34B3">
            <w:pPr>
              <w:spacing w:line="240" w:lineRule="auto"/>
              <w:rPr>
                <w:rFonts w:cstheme="minorHAnsi"/>
                <w:szCs w:val="24"/>
              </w:rPr>
            </w:pPr>
          </w:p>
          <w:p w14:paraId="680373F0" w14:textId="2510368F" w:rsidR="004C34B3" w:rsidRPr="001B3442" w:rsidRDefault="004C34B3" w:rsidP="560ED390">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109104EA" w14:textId="4D8D8F2D" w:rsidR="001C1EA3" w:rsidRPr="001C1EA3" w:rsidRDefault="0066259F">
            <w:pPr>
              <w:spacing w:line="240" w:lineRule="auto"/>
              <w:rPr>
                <w:rFonts w:cstheme="minorHAnsi"/>
                <w:b/>
                <w:bCs/>
                <w:szCs w:val="24"/>
              </w:rPr>
            </w:pPr>
            <w:r>
              <w:rPr>
                <w:rFonts w:cstheme="minorHAnsi"/>
                <w:b/>
                <w:bCs/>
                <w:szCs w:val="24"/>
              </w:rPr>
              <w:t>Financial Sustainability Plans</w:t>
            </w:r>
            <w:r w:rsidR="001C1EA3" w:rsidRPr="001C1EA3">
              <w:rPr>
                <w:rFonts w:cstheme="minorHAnsi"/>
                <w:b/>
                <w:bCs/>
                <w:szCs w:val="24"/>
              </w:rPr>
              <w:t xml:space="preserve"> </w:t>
            </w:r>
          </w:p>
          <w:p w14:paraId="222ACA28" w14:textId="79684FA3" w:rsidR="001C1EA3" w:rsidRDefault="001C1EA3" w:rsidP="06B49936">
            <w:pPr>
              <w:spacing w:line="240" w:lineRule="auto"/>
            </w:pPr>
            <w:r>
              <w:t>Due to their overrepresentation as both direct service users and service beneficiaries carers may be disproportionately impacted by</w:t>
            </w:r>
            <w:r w:rsidR="6394E03C">
              <w:t xml:space="preserve"> </w:t>
            </w:r>
            <w:r w:rsidR="42E5FBA3">
              <w:t>budget management decisions in</w:t>
            </w:r>
            <w:r w:rsidR="00A219FB">
              <w:t xml:space="preserve"> </w:t>
            </w:r>
            <w:r w:rsidR="5BC5B378">
              <w:t>A</w:t>
            </w:r>
            <w:r w:rsidR="00DD3B2F">
              <w:t xml:space="preserve">dult </w:t>
            </w:r>
            <w:r w:rsidR="5CF57B93">
              <w:t>S</w:t>
            </w:r>
            <w:r w:rsidR="00DD3B2F">
              <w:t xml:space="preserve">ocial </w:t>
            </w:r>
            <w:r w:rsidR="68E13CB0">
              <w:t>C</w:t>
            </w:r>
            <w:r w:rsidR="00DD3B2F">
              <w:t xml:space="preserve">are and the </w:t>
            </w:r>
            <w:r w:rsidR="0066259F">
              <w:t>Financial Sustainability Plans</w:t>
            </w:r>
            <w:r>
              <w:t xml:space="preserve"> </w:t>
            </w:r>
            <w:r w:rsidR="3C2ECDF0">
              <w:t>in Children’s</w:t>
            </w:r>
            <w:r>
              <w:t xml:space="preserve"> Services provisions. </w:t>
            </w:r>
          </w:p>
          <w:p w14:paraId="773651C4" w14:textId="54A00739" w:rsidR="1AD6D21D" w:rsidRDefault="1AD6D21D" w:rsidP="1AD6D21D">
            <w:pPr>
              <w:spacing w:line="240" w:lineRule="auto"/>
            </w:pPr>
          </w:p>
          <w:p w14:paraId="36392F6E" w14:textId="4B0A4FAC" w:rsidR="2BFEA875" w:rsidRDefault="2BFEA875" w:rsidP="1AD6D21D">
            <w:pPr>
              <w:spacing w:line="240" w:lineRule="auto"/>
            </w:pPr>
            <w:r>
              <w:t xml:space="preserve">Carers may be disproportionately impacted by </w:t>
            </w:r>
            <w:r w:rsidRPr="1AD6D21D">
              <w:t xml:space="preserve">the </w:t>
            </w:r>
            <w:r w:rsidR="0C68AB80" w:rsidRPr="1AD6D21D">
              <w:t>Children's</w:t>
            </w:r>
            <w:r w:rsidRPr="1AD6D21D">
              <w:t xml:space="preserve"> Social Care placements, </w:t>
            </w:r>
            <w:r>
              <w:t xml:space="preserve">Locality </w:t>
            </w:r>
            <w:r w:rsidR="46F51FDE">
              <w:t>Model,</w:t>
            </w:r>
            <w:r>
              <w:t xml:space="preserve"> and home to school transport budget decisions</w:t>
            </w:r>
            <w:r w:rsidR="545CEEC8">
              <w:t xml:space="preserve"> due to their caring role. </w:t>
            </w:r>
          </w:p>
          <w:p w14:paraId="73A3490D" w14:textId="210340C6" w:rsidR="1AD6D21D" w:rsidRDefault="1AD6D21D" w:rsidP="1AD6D21D">
            <w:pPr>
              <w:spacing w:line="240" w:lineRule="auto"/>
            </w:pPr>
          </w:p>
          <w:p w14:paraId="707A4F25" w14:textId="39B00877" w:rsidR="1AD6D21D" w:rsidRDefault="1AD6D21D" w:rsidP="1AD6D21D">
            <w:pPr>
              <w:spacing w:line="240" w:lineRule="auto"/>
            </w:pPr>
          </w:p>
          <w:p w14:paraId="47A2CF9E" w14:textId="4E68FD22" w:rsidR="1AD6D21D" w:rsidRDefault="1AD6D21D" w:rsidP="1AD6D21D">
            <w:pPr>
              <w:spacing w:line="240" w:lineRule="auto"/>
            </w:pPr>
          </w:p>
          <w:p w14:paraId="0163F960" w14:textId="23E1A802" w:rsidR="0A4AAB88" w:rsidRDefault="0A4AAB88" w:rsidP="1AD6D21D">
            <w:pPr>
              <w:spacing w:line="240" w:lineRule="auto"/>
              <w:rPr>
                <w:b/>
                <w:bCs/>
              </w:rPr>
            </w:pPr>
            <w:r w:rsidRPr="1AD6D21D">
              <w:rPr>
                <w:b/>
                <w:bCs/>
              </w:rPr>
              <w:t>Housing Needs</w:t>
            </w:r>
          </w:p>
          <w:p w14:paraId="0181DE71" w14:textId="13757CE0" w:rsidR="0A4AAB88" w:rsidRDefault="0A4AAB88" w:rsidP="1AD6D21D">
            <w:pPr>
              <w:spacing w:line="240" w:lineRule="auto"/>
            </w:pPr>
            <w:r>
              <w:t xml:space="preserve">The current level of the cost of living and the increasing cost of accommodation costs is especially challenging for carers who are more likely to work part time and experience financial difficulty. </w:t>
            </w:r>
          </w:p>
          <w:p w14:paraId="5154BE32" w14:textId="77E78A03" w:rsidR="1AD6D21D" w:rsidRDefault="1AD6D21D" w:rsidP="1AD6D21D">
            <w:pPr>
              <w:spacing w:line="240" w:lineRule="auto"/>
            </w:pPr>
          </w:p>
          <w:p w14:paraId="5D370643" w14:textId="77777777" w:rsidR="001C1EA3" w:rsidRDefault="001C1EA3">
            <w:pPr>
              <w:spacing w:line="240" w:lineRule="auto"/>
              <w:rPr>
                <w:rFonts w:cstheme="minorHAnsi"/>
                <w:b/>
                <w:bCs/>
                <w:szCs w:val="24"/>
              </w:rPr>
            </w:pPr>
          </w:p>
          <w:p w14:paraId="6783B878" w14:textId="5E9A36D9" w:rsidR="001B3442" w:rsidRPr="001B3442" w:rsidRDefault="001C1EA3">
            <w:pPr>
              <w:spacing w:line="240" w:lineRule="auto"/>
              <w:rPr>
                <w:rFonts w:cstheme="minorHAnsi"/>
                <w:szCs w:val="24"/>
              </w:rPr>
            </w:pPr>
            <w:r w:rsidRPr="001C1EA3">
              <w:rPr>
                <w:rFonts w:cstheme="minorHAnsi"/>
                <w:b/>
                <w:bCs/>
                <w:szCs w:val="24"/>
              </w:rPr>
              <w:t>Council Tax and fees and charges</w:t>
            </w:r>
            <w:r w:rsidRPr="001C1EA3">
              <w:rPr>
                <w:rFonts w:cstheme="minorHAnsi"/>
                <w:szCs w:val="24"/>
              </w:rPr>
              <w:t xml:space="preserve"> Carers may be disproportionately impacted by increases to Council Tax and fees and charges due to the increased likelihood of them experiencing poverty.</w:t>
            </w:r>
          </w:p>
        </w:tc>
        <w:tc>
          <w:tcPr>
            <w:tcW w:w="2844" w:type="dxa"/>
            <w:tcBorders>
              <w:top w:val="single" w:sz="4" w:space="0" w:color="auto"/>
              <w:left w:val="single" w:sz="4" w:space="0" w:color="auto"/>
              <w:bottom w:val="single" w:sz="4" w:space="0" w:color="auto"/>
              <w:right w:val="single" w:sz="4" w:space="0" w:color="auto"/>
            </w:tcBorders>
          </w:tcPr>
          <w:p w14:paraId="11AEE13D" w14:textId="26AE0AB0" w:rsidR="001B3442" w:rsidRDefault="0066259F" w:rsidP="1AD6D21D">
            <w:pPr>
              <w:spacing w:line="240" w:lineRule="auto"/>
            </w:pPr>
            <w:r w:rsidRPr="1AD6D21D">
              <w:rPr>
                <w:b/>
                <w:bCs/>
              </w:rPr>
              <w:lastRenderedPageBreak/>
              <w:t>Financial Sustainability Plans</w:t>
            </w:r>
            <w:r w:rsidR="001C1EA3" w:rsidRPr="1AD6D21D">
              <w:t xml:space="preserve"> Services will continue to take a case-by-case approach and person/ child centred approach in their delivery of services to ensure that individuals receive support tailored to their individual needs and circumstances. To ensure that equality is fully considered, individual decisions will be further assessed as proposals develop and go through the </w:t>
            </w:r>
            <w:r w:rsidR="291152D4" w:rsidRPr="1AD6D21D">
              <w:t>decision-making</w:t>
            </w:r>
            <w:r w:rsidR="001C1EA3" w:rsidRPr="1AD6D21D">
              <w:t xml:space="preserve"> cycle independently. In addition, where relevant existing council policies will continue to be followed to ensure that </w:t>
            </w:r>
            <w:r w:rsidR="001C1EA3" w:rsidRPr="1AD6D21D">
              <w:lastRenderedPageBreak/>
              <w:t>service delivery is equitable.</w:t>
            </w:r>
          </w:p>
          <w:p w14:paraId="4E6D2ADE" w14:textId="757919D4" w:rsidR="1AD6D21D" w:rsidRDefault="1AD6D21D" w:rsidP="1AD6D21D">
            <w:pPr>
              <w:spacing w:line="240" w:lineRule="auto"/>
            </w:pPr>
          </w:p>
          <w:p w14:paraId="65A720D3" w14:textId="23E1A802" w:rsidR="7255639A" w:rsidRDefault="7255639A" w:rsidP="1AD6D21D">
            <w:pPr>
              <w:spacing w:line="240" w:lineRule="auto"/>
              <w:rPr>
                <w:b/>
                <w:bCs/>
              </w:rPr>
            </w:pPr>
            <w:r w:rsidRPr="1AD6D21D">
              <w:rPr>
                <w:b/>
                <w:bCs/>
              </w:rPr>
              <w:t>Housing Needs</w:t>
            </w:r>
          </w:p>
          <w:p w14:paraId="2757860F" w14:textId="06631865" w:rsidR="7255639A" w:rsidRDefault="7255639A" w:rsidP="1AD6D21D">
            <w:pPr>
              <w:spacing w:line="240" w:lineRule="auto"/>
            </w:pPr>
            <w:r w:rsidRPr="1AD6D21D">
              <w:t>All individuals, and families, will continue to be assessed based on their identified needs. We will continue to monitor data to identify trends in those experiencing housing challenges.</w:t>
            </w:r>
          </w:p>
          <w:p w14:paraId="192DC097" w14:textId="70A8337D" w:rsidR="1AD6D21D" w:rsidRDefault="1AD6D21D" w:rsidP="1AD6D21D">
            <w:pPr>
              <w:spacing w:line="240" w:lineRule="auto"/>
            </w:pPr>
          </w:p>
          <w:p w14:paraId="3756BE02" w14:textId="77777777" w:rsidR="001C1EA3" w:rsidRDefault="001C1EA3">
            <w:pPr>
              <w:spacing w:line="240" w:lineRule="auto"/>
              <w:rPr>
                <w:rFonts w:cstheme="minorHAnsi"/>
                <w:szCs w:val="24"/>
              </w:rPr>
            </w:pPr>
          </w:p>
          <w:p w14:paraId="479B5A1A" w14:textId="77777777" w:rsidR="001C1EA3" w:rsidRDefault="001C1EA3">
            <w:pPr>
              <w:spacing w:line="240" w:lineRule="auto"/>
              <w:rPr>
                <w:rFonts w:cstheme="minorHAnsi"/>
                <w:b/>
                <w:bCs/>
                <w:szCs w:val="24"/>
              </w:rPr>
            </w:pPr>
            <w:r w:rsidRPr="001C1EA3">
              <w:rPr>
                <w:rFonts w:cstheme="minorHAnsi"/>
                <w:b/>
                <w:bCs/>
                <w:szCs w:val="24"/>
              </w:rPr>
              <w:t>Council Tax and fees and charges</w:t>
            </w:r>
          </w:p>
          <w:p w14:paraId="4348BE38" w14:textId="2DE47146" w:rsidR="001C1EA3" w:rsidRPr="001C1EA3" w:rsidRDefault="001C1EA3">
            <w:pPr>
              <w:spacing w:line="240" w:lineRule="auto"/>
              <w:rPr>
                <w:rFonts w:cstheme="minorHAnsi"/>
                <w:szCs w:val="24"/>
              </w:rPr>
            </w:pPr>
            <w:r w:rsidRPr="001C1EA3">
              <w:rPr>
                <w:rFonts w:cstheme="minorHAnsi"/>
                <w:szCs w:val="24"/>
              </w:rPr>
              <w:t>A Council Tax Support Scheme is in place which limited the amount that eligible applicants are required to pay to 75%. The Exceptional Hardship Fund is also available to provide financial support to eligible applicants facing exceptional financial hardship.</w:t>
            </w:r>
          </w:p>
        </w:tc>
        <w:tc>
          <w:tcPr>
            <w:tcW w:w="1824" w:type="dxa"/>
            <w:tcBorders>
              <w:top w:val="single" w:sz="4" w:space="0" w:color="auto"/>
              <w:left w:val="single" w:sz="4" w:space="0" w:color="auto"/>
              <w:bottom w:val="single" w:sz="4" w:space="0" w:color="auto"/>
              <w:right w:val="single" w:sz="4" w:space="0" w:color="auto"/>
            </w:tcBorders>
          </w:tcPr>
          <w:p w14:paraId="172443A0" w14:textId="77777777" w:rsidR="001B3442" w:rsidRDefault="001C1EA3">
            <w:pPr>
              <w:spacing w:line="240" w:lineRule="auto"/>
              <w:rPr>
                <w:rFonts w:cstheme="minorHAnsi"/>
                <w:szCs w:val="24"/>
              </w:rPr>
            </w:pPr>
            <w:r w:rsidRPr="001C1EA3">
              <w:rPr>
                <w:rFonts w:cstheme="minorHAnsi"/>
                <w:szCs w:val="24"/>
              </w:rPr>
              <w:lastRenderedPageBreak/>
              <w:t>Director of Adult and Community Services and Director of Children’s Services to assess the impact of budget savings within their departments</w:t>
            </w:r>
          </w:p>
          <w:p w14:paraId="562E63F6" w14:textId="77777777" w:rsidR="001C1EA3" w:rsidRDefault="001C1EA3">
            <w:pPr>
              <w:spacing w:line="240" w:lineRule="auto"/>
              <w:rPr>
                <w:rFonts w:cstheme="minorHAnsi"/>
                <w:szCs w:val="24"/>
              </w:rPr>
            </w:pPr>
          </w:p>
          <w:p w14:paraId="58B63007" w14:textId="5A649C9F" w:rsidR="001C1EA3" w:rsidRPr="005D119E" w:rsidRDefault="00DD3B2F" w:rsidP="06B49936">
            <w:pPr>
              <w:spacing w:line="240" w:lineRule="auto"/>
            </w:pPr>
            <w:r>
              <w:t xml:space="preserve">Director of </w:t>
            </w:r>
            <w:r w:rsidR="001C1EA3">
              <w:t>Financial Services</w:t>
            </w:r>
            <w:r>
              <w:t xml:space="preserve"> to</w:t>
            </w:r>
            <w:r w:rsidR="65544CE5">
              <w:t xml:space="preserve"> </w:t>
            </w:r>
            <w:r>
              <w:t>c</w:t>
            </w:r>
            <w:r w:rsidR="001C1EA3">
              <w:t xml:space="preserve">ontinue to raise awareness of the Council Tax Support Scheme and to ensure that </w:t>
            </w:r>
            <w:r w:rsidR="001C1EA3">
              <w:lastRenderedPageBreak/>
              <w:t>equality is considered.</w:t>
            </w:r>
          </w:p>
        </w:tc>
      </w:tr>
      <w:tr w:rsidR="003C21AE" w:rsidRPr="001B3442" w14:paraId="2247A1E5"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75A842F" w14:textId="11C6E671" w:rsidR="001B3442" w:rsidRPr="001B3442" w:rsidRDefault="001B3442">
            <w:pPr>
              <w:spacing w:line="240" w:lineRule="auto"/>
              <w:rPr>
                <w:rFonts w:cstheme="minorHAnsi"/>
                <w:szCs w:val="24"/>
              </w:rPr>
            </w:pPr>
            <w:r w:rsidRPr="001B3442">
              <w:rPr>
                <w:rFonts w:cstheme="minorHAnsi"/>
                <w:szCs w:val="24"/>
              </w:rPr>
              <w:lastRenderedPageBreak/>
              <w:t xml:space="preserve">Disability </w:t>
            </w:r>
          </w:p>
        </w:tc>
        <w:tc>
          <w:tcPr>
            <w:tcW w:w="3460" w:type="dxa"/>
            <w:tcBorders>
              <w:top w:val="single" w:sz="4" w:space="0" w:color="auto"/>
              <w:left w:val="single" w:sz="4" w:space="0" w:color="auto"/>
              <w:bottom w:val="single" w:sz="4" w:space="0" w:color="auto"/>
              <w:right w:val="single" w:sz="4" w:space="0" w:color="auto"/>
            </w:tcBorders>
          </w:tcPr>
          <w:p w14:paraId="67BFA707" w14:textId="77777777" w:rsidR="001B3442" w:rsidRDefault="001B3442">
            <w:pPr>
              <w:spacing w:line="240" w:lineRule="auto"/>
            </w:pPr>
            <w:r>
              <w:t xml:space="preserve">In the 2021 Census, 23.8% of Torbay residents answered that their day-to-day activities were limited a little or a lot by a physical or mental </w:t>
            </w:r>
            <w:r w:rsidR="34DAE4E6">
              <w:t>heal</w:t>
            </w:r>
            <w:r w:rsidR="2C768DC4">
              <w:t>th</w:t>
            </w:r>
            <w:r>
              <w:t xml:space="preserve"> condition or illness. </w:t>
            </w:r>
          </w:p>
          <w:p w14:paraId="35D19D1F" w14:textId="1065797E" w:rsidR="1AD6D21D" w:rsidRDefault="1AD6D21D" w:rsidP="1AD6D21D">
            <w:pPr>
              <w:spacing w:line="240" w:lineRule="auto"/>
            </w:pPr>
          </w:p>
          <w:p w14:paraId="2E29701E" w14:textId="022FB0CB" w:rsidR="5FAAC00E" w:rsidRDefault="5FAAC00E" w:rsidP="1AD6D21D">
            <w:pPr>
              <w:spacing w:line="240" w:lineRule="auto"/>
            </w:pPr>
            <w:r>
              <w:t>After housing costs, the proportion of working age disabled people living in poverty is 27%, which is higher than the proportion of working age non-disabled people at 19% - Scope report 2021.</w:t>
            </w:r>
          </w:p>
          <w:p w14:paraId="5A70453E" w14:textId="28B44F62" w:rsidR="5FAAC00E" w:rsidRDefault="5FAAC00E" w:rsidP="1AD6D21D">
            <w:pPr>
              <w:spacing w:line="240" w:lineRule="auto"/>
            </w:pPr>
            <w:r>
              <w:t xml:space="preserve"> </w:t>
            </w:r>
          </w:p>
          <w:p w14:paraId="108BE565" w14:textId="7A204320" w:rsidR="5FAAC00E" w:rsidRDefault="5FAAC00E" w:rsidP="1AD6D21D">
            <w:pPr>
              <w:spacing w:line="240" w:lineRule="auto"/>
            </w:pPr>
            <w:r>
              <w:t>The average disabled household faces £975 a month in extra costs – Scope report 2023.</w:t>
            </w:r>
          </w:p>
          <w:p w14:paraId="7B5FD79D" w14:textId="75441F78" w:rsidR="1AD6D21D" w:rsidRDefault="1AD6D21D" w:rsidP="1AD6D21D">
            <w:pPr>
              <w:spacing w:line="240" w:lineRule="auto"/>
            </w:pPr>
          </w:p>
          <w:p w14:paraId="0FE3D83D" w14:textId="5CF8CFE9" w:rsidR="224FF632" w:rsidRDefault="224FF632" w:rsidP="1AD6D21D">
            <w:pPr>
              <w:spacing w:line="240" w:lineRule="auto"/>
            </w:pPr>
            <w:r w:rsidRPr="1AD6D21D">
              <w:t xml:space="preserve">Council Tax Support </w:t>
            </w:r>
          </w:p>
          <w:p w14:paraId="475CEBD9" w14:textId="154FAD29" w:rsidR="224FF632" w:rsidRDefault="224FF632" w:rsidP="1AD6D21D">
            <w:pPr>
              <w:spacing w:line="240" w:lineRule="auto"/>
            </w:pPr>
            <w:r w:rsidRPr="1AD6D21D">
              <w:t>Standard Means Test: 103</w:t>
            </w:r>
          </w:p>
          <w:p w14:paraId="5D2947B6" w14:textId="0BBD2641" w:rsidR="1AD6D21D" w:rsidRDefault="1AD6D21D" w:rsidP="1AD6D21D">
            <w:pPr>
              <w:spacing w:line="240" w:lineRule="auto"/>
            </w:pPr>
          </w:p>
          <w:p w14:paraId="06B94486" w14:textId="5923B7D2" w:rsidR="1AD6D21D" w:rsidRDefault="1AD6D21D" w:rsidP="1AD6D21D">
            <w:pPr>
              <w:spacing w:line="240" w:lineRule="auto"/>
            </w:pPr>
          </w:p>
          <w:p w14:paraId="11834F8E" w14:textId="77777777" w:rsidR="004C34B3" w:rsidRDefault="004C34B3">
            <w:pPr>
              <w:spacing w:line="240" w:lineRule="auto"/>
            </w:pPr>
          </w:p>
          <w:p w14:paraId="668E01F9" w14:textId="675870D7" w:rsidR="004C34B3" w:rsidRPr="001B3442" w:rsidRDefault="004C34B3" w:rsidP="560ED390">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6873E61B" w14:textId="5813BD90" w:rsidR="001C1EA3" w:rsidRPr="001C1EA3" w:rsidRDefault="0066259F">
            <w:pPr>
              <w:spacing w:line="240" w:lineRule="auto"/>
              <w:rPr>
                <w:rFonts w:cstheme="minorHAnsi"/>
                <w:b/>
                <w:bCs/>
                <w:szCs w:val="24"/>
              </w:rPr>
            </w:pPr>
            <w:r>
              <w:rPr>
                <w:rFonts w:cstheme="minorHAnsi"/>
                <w:b/>
                <w:bCs/>
                <w:szCs w:val="24"/>
              </w:rPr>
              <w:t>Financial Sustainability Plans</w:t>
            </w:r>
          </w:p>
          <w:p w14:paraId="2A7C80F6" w14:textId="6C64A2D1" w:rsidR="001B3442" w:rsidRDefault="001C1EA3" w:rsidP="1AD6D21D">
            <w:pPr>
              <w:spacing w:line="240" w:lineRule="auto"/>
            </w:pPr>
            <w:r w:rsidRPr="1AD6D21D">
              <w:t xml:space="preserve">Due to their overrepresentation as service </w:t>
            </w:r>
            <w:bookmarkStart w:id="2" w:name="_Int_juqU322y"/>
            <w:r w:rsidRPr="1AD6D21D">
              <w:t>users</w:t>
            </w:r>
            <w:bookmarkEnd w:id="2"/>
            <w:r w:rsidRPr="1AD6D21D">
              <w:t xml:space="preserve"> people with disabilities may be disproportionately impacted by budget management decisions in Adult Social Care and Children’s Services provisions.</w:t>
            </w:r>
            <w:r w:rsidR="55EF0FD5" w:rsidRPr="1AD6D21D">
              <w:t xml:space="preserve"> Children and young people with disabilities may be </w:t>
            </w:r>
            <w:r w:rsidR="0BE462F5" w:rsidRPr="1AD6D21D">
              <w:t>disproportionately</w:t>
            </w:r>
            <w:r w:rsidR="55EF0FD5" w:rsidRPr="1AD6D21D">
              <w:t xml:space="preserve"> impacted by the </w:t>
            </w:r>
            <w:r w:rsidR="779B69C6" w:rsidRPr="1AD6D21D">
              <w:t>Children's</w:t>
            </w:r>
            <w:r w:rsidR="6B2EF0E5" w:rsidRPr="1AD6D21D">
              <w:t xml:space="preserve"> Social Care placements, </w:t>
            </w:r>
            <w:r w:rsidR="55EF0FD5">
              <w:t xml:space="preserve">Locality </w:t>
            </w:r>
            <w:r w:rsidR="3631B802">
              <w:t>Model,</w:t>
            </w:r>
            <w:r w:rsidR="55EF0FD5">
              <w:t xml:space="preserve"> and home to school transport budget decisions.</w:t>
            </w:r>
          </w:p>
          <w:p w14:paraId="46714A49" w14:textId="0876FBA1" w:rsidR="1AD6D21D" w:rsidRDefault="1AD6D21D" w:rsidP="1AD6D21D">
            <w:pPr>
              <w:spacing w:line="240" w:lineRule="auto"/>
            </w:pPr>
          </w:p>
          <w:p w14:paraId="32E9D029" w14:textId="46EBB0E3" w:rsidR="77D1DBA1" w:rsidRDefault="77D1DBA1" w:rsidP="1AD6D21D">
            <w:pPr>
              <w:spacing w:line="240" w:lineRule="auto"/>
              <w:rPr>
                <w:b/>
                <w:bCs/>
              </w:rPr>
            </w:pPr>
            <w:r w:rsidRPr="1AD6D21D">
              <w:rPr>
                <w:b/>
                <w:bCs/>
              </w:rPr>
              <w:t>Housing Needs</w:t>
            </w:r>
          </w:p>
          <w:p w14:paraId="0D502A92" w14:textId="0A67CFFD" w:rsidR="77D1DBA1" w:rsidRDefault="77D1DBA1" w:rsidP="1AD6D21D">
            <w:pPr>
              <w:spacing w:line="240" w:lineRule="auto"/>
            </w:pPr>
            <w:r>
              <w:t xml:space="preserve">The current level of the cost of living and the increasing cost of accommodation costs is especially challenging for families, younger </w:t>
            </w:r>
            <w:r w:rsidR="2458C0E0">
              <w:t>people,</w:t>
            </w:r>
            <w:r>
              <w:t xml:space="preserve"> and older people.</w:t>
            </w:r>
          </w:p>
          <w:p w14:paraId="309E91ED" w14:textId="744E182F" w:rsidR="1AD6D21D" w:rsidRDefault="1AD6D21D" w:rsidP="1AD6D21D">
            <w:pPr>
              <w:spacing w:line="240" w:lineRule="auto"/>
            </w:pPr>
          </w:p>
          <w:p w14:paraId="21137A82" w14:textId="77777777" w:rsidR="001C1EA3" w:rsidRDefault="001C1EA3">
            <w:pPr>
              <w:spacing w:line="240" w:lineRule="auto"/>
              <w:rPr>
                <w:rFonts w:cstheme="minorHAnsi"/>
                <w:szCs w:val="24"/>
              </w:rPr>
            </w:pPr>
          </w:p>
          <w:p w14:paraId="654D887C" w14:textId="77777777" w:rsidR="001C1EA3" w:rsidRDefault="001C1EA3">
            <w:pPr>
              <w:spacing w:line="240" w:lineRule="auto"/>
              <w:rPr>
                <w:rFonts w:cstheme="minorHAnsi"/>
                <w:szCs w:val="24"/>
              </w:rPr>
            </w:pPr>
            <w:r w:rsidRPr="001C1EA3">
              <w:rPr>
                <w:rFonts w:cstheme="minorHAnsi"/>
                <w:b/>
                <w:bCs/>
                <w:szCs w:val="24"/>
              </w:rPr>
              <w:t>Council Tax and fees and charges</w:t>
            </w:r>
            <w:r w:rsidRPr="001C1EA3">
              <w:rPr>
                <w:rFonts w:cstheme="minorHAnsi"/>
                <w:szCs w:val="24"/>
              </w:rPr>
              <w:t xml:space="preserve"> People with disabilities may be disproportionately impacted by increases to Council Tax and fees and charges due to the increased likelihood of them experiencing poverty.</w:t>
            </w:r>
          </w:p>
          <w:p w14:paraId="60FBBFB4" w14:textId="77777777" w:rsidR="001C1EA3" w:rsidRDefault="001C1EA3">
            <w:pPr>
              <w:spacing w:line="240" w:lineRule="auto"/>
              <w:rPr>
                <w:rFonts w:cstheme="minorHAnsi"/>
                <w:szCs w:val="24"/>
              </w:rPr>
            </w:pPr>
          </w:p>
          <w:p w14:paraId="70EE93E2" w14:textId="0A689497" w:rsidR="001C1EA3" w:rsidRPr="001B3442" w:rsidRDefault="001C1EA3">
            <w:pPr>
              <w:spacing w:line="240" w:lineRule="auto"/>
              <w:rPr>
                <w:rFonts w:cstheme="minorHAnsi"/>
                <w:szCs w:val="24"/>
              </w:rPr>
            </w:pPr>
          </w:p>
        </w:tc>
        <w:tc>
          <w:tcPr>
            <w:tcW w:w="2844" w:type="dxa"/>
            <w:tcBorders>
              <w:top w:val="single" w:sz="4" w:space="0" w:color="auto"/>
              <w:left w:val="single" w:sz="4" w:space="0" w:color="auto"/>
              <w:bottom w:val="single" w:sz="4" w:space="0" w:color="auto"/>
              <w:right w:val="single" w:sz="4" w:space="0" w:color="auto"/>
            </w:tcBorders>
          </w:tcPr>
          <w:p w14:paraId="10B8FBA9" w14:textId="77777777" w:rsidR="009E4304" w:rsidRPr="009E4304" w:rsidRDefault="0066259F" w:rsidP="06B49936">
            <w:pPr>
              <w:spacing w:line="240" w:lineRule="auto"/>
              <w:rPr>
                <w:b/>
                <w:bCs/>
                <w:rPrChange w:id="3" w:author="Unknown" w16du:dateUtc="2024-11-21T11:05:00Z">
                  <w:rPr>
                    <w:rFonts w:cstheme="minorHAnsi"/>
                    <w:szCs w:val="24"/>
                  </w:rPr>
                </w:rPrChange>
              </w:rPr>
            </w:pPr>
            <w:r w:rsidRPr="06B49936">
              <w:rPr>
                <w:b/>
                <w:bCs/>
              </w:rPr>
              <w:t>Financial Sustainability Plans</w:t>
            </w:r>
            <w:r w:rsidR="001C1EA3" w:rsidRPr="06B49936">
              <w:rPr>
                <w:b/>
                <w:bCs/>
              </w:rPr>
              <w:t xml:space="preserve"> </w:t>
            </w:r>
          </w:p>
          <w:p w14:paraId="252C17A8" w14:textId="2CA46909" w:rsidR="001B3442" w:rsidRDefault="001C1EA3" w:rsidP="1AD6D21D">
            <w:pPr>
              <w:spacing w:line="240" w:lineRule="auto"/>
            </w:pPr>
            <w:r w:rsidRPr="1AD6D21D">
              <w:t xml:space="preserve">Services will continue to take a case-by-case approach and person/ child centred approach in their delivery of services to ensure that individuals receive support tailored to their individual needs and circumstances. To ensure that equality is fully considered, individual decisions will be further assessed as proposals develop and go through the </w:t>
            </w:r>
            <w:r w:rsidR="6CAA2473" w:rsidRPr="1AD6D21D">
              <w:t>decision-making</w:t>
            </w:r>
            <w:r w:rsidRPr="1AD6D21D">
              <w:t xml:space="preserve"> cycle independently. In addition, where relevant existing council policies will continue to be followed to ensure that service delivery is equitable.</w:t>
            </w:r>
          </w:p>
          <w:p w14:paraId="42517BFC" w14:textId="647C4137" w:rsidR="1AD6D21D" w:rsidRDefault="1AD6D21D" w:rsidP="1AD6D21D">
            <w:pPr>
              <w:spacing w:line="240" w:lineRule="auto"/>
            </w:pPr>
          </w:p>
          <w:p w14:paraId="1FC7CF74" w14:textId="23E1A802" w:rsidR="3969A68D" w:rsidRDefault="3969A68D" w:rsidP="1AD6D21D">
            <w:pPr>
              <w:spacing w:line="240" w:lineRule="auto"/>
              <w:rPr>
                <w:b/>
                <w:bCs/>
              </w:rPr>
            </w:pPr>
            <w:r w:rsidRPr="1AD6D21D">
              <w:rPr>
                <w:b/>
                <w:bCs/>
              </w:rPr>
              <w:t>Housing Needs</w:t>
            </w:r>
          </w:p>
          <w:p w14:paraId="1007486D" w14:textId="236E96EB" w:rsidR="3969A68D" w:rsidRDefault="3969A68D" w:rsidP="1AD6D21D">
            <w:pPr>
              <w:spacing w:line="240" w:lineRule="auto"/>
            </w:pPr>
            <w:r w:rsidRPr="1AD6D21D">
              <w:t xml:space="preserve">All individuals, and families, will continue to be assessed based on their identified needs. We will continue to monitor data to identify trends in those experiencing housing challenges. Where required reasonable adjustments will be put in place for people with disabilities requiring housing support. </w:t>
            </w:r>
          </w:p>
          <w:p w14:paraId="51469B73" w14:textId="77C2B3DE" w:rsidR="1AD6D21D" w:rsidRDefault="1AD6D21D" w:rsidP="1AD6D21D">
            <w:pPr>
              <w:spacing w:line="240" w:lineRule="auto"/>
            </w:pPr>
          </w:p>
          <w:p w14:paraId="7E7947D9" w14:textId="77777777" w:rsidR="00EA0613" w:rsidRDefault="00EA0613">
            <w:pPr>
              <w:spacing w:line="240" w:lineRule="auto"/>
              <w:rPr>
                <w:rFonts w:cstheme="minorHAnsi"/>
                <w:szCs w:val="24"/>
              </w:rPr>
            </w:pPr>
          </w:p>
          <w:p w14:paraId="20BD867C" w14:textId="77777777" w:rsidR="009E4304" w:rsidRDefault="00EA0613" w:rsidP="06B49936">
            <w:pPr>
              <w:spacing w:line="240" w:lineRule="auto"/>
            </w:pPr>
            <w:r w:rsidRPr="06B49936">
              <w:rPr>
                <w:b/>
                <w:bCs/>
              </w:rPr>
              <w:t>Council Tax and fees</w:t>
            </w:r>
            <w:r w:rsidRPr="06B49936">
              <w:t xml:space="preserve"> </w:t>
            </w:r>
            <w:r w:rsidRPr="06B49936">
              <w:rPr>
                <w:b/>
                <w:bCs/>
              </w:rPr>
              <w:t>and charges</w:t>
            </w:r>
            <w:r w:rsidRPr="06B49936">
              <w:t xml:space="preserve"> </w:t>
            </w:r>
          </w:p>
          <w:p w14:paraId="0BAC2A8F" w14:textId="580707A7" w:rsidR="00EA0613" w:rsidRPr="001B3442" w:rsidRDefault="00EA0613">
            <w:pPr>
              <w:spacing w:line="240" w:lineRule="auto"/>
              <w:rPr>
                <w:rFonts w:cstheme="minorHAnsi"/>
                <w:szCs w:val="24"/>
              </w:rPr>
            </w:pPr>
            <w:r w:rsidRPr="00EA0613">
              <w:rPr>
                <w:rFonts w:cstheme="minorHAnsi"/>
                <w:szCs w:val="24"/>
              </w:rPr>
              <w:t>A Council Tax Support Scheme is in place which limited the amount</w:t>
            </w:r>
            <w:r>
              <w:rPr>
                <w:rFonts w:cstheme="minorHAnsi"/>
                <w:szCs w:val="24"/>
              </w:rPr>
              <w:t xml:space="preserve"> </w:t>
            </w:r>
            <w:r w:rsidR="00AC5579">
              <w:rPr>
                <w:rFonts w:cstheme="minorHAnsi"/>
                <w:szCs w:val="24"/>
              </w:rPr>
              <w:t>w</w:t>
            </w:r>
            <w:r w:rsidRPr="00EA0613">
              <w:rPr>
                <w:rFonts w:cstheme="minorHAnsi"/>
                <w:szCs w:val="24"/>
              </w:rPr>
              <w:t>hat eligible applicants are required to pay to 75%. The Exceptional Hardship fund is also available to provide financial support to eligible applicants facing exceptional financial hardship.</w:t>
            </w:r>
          </w:p>
        </w:tc>
        <w:tc>
          <w:tcPr>
            <w:tcW w:w="1824" w:type="dxa"/>
            <w:tcBorders>
              <w:top w:val="single" w:sz="4" w:space="0" w:color="auto"/>
              <w:left w:val="single" w:sz="4" w:space="0" w:color="auto"/>
              <w:bottom w:val="single" w:sz="4" w:space="0" w:color="auto"/>
              <w:right w:val="single" w:sz="4" w:space="0" w:color="auto"/>
            </w:tcBorders>
          </w:tcPr>
          <w:p w14:paraId="0268E219" w14:textId="77777777" w:rsidR="001B3442" w:rsidRDefault="00EA0613">
            <w:pPr>
              <w:spacing w:line="240" w:lineRule="auto"/>
              <w:rPr>
                <w:rFonts w:cstheme="minorHAnsi"/>
                <w:szCs w:val="24"/>
              </w:rPr>
            </w:pPr>
            <w:r w:rsidRPr="00EA0613">
              <w:rPr>
                <w:rFonts w:cstheme="minorHAnsi"/>
                <w:szCs w:val="24"/>
              </w:rPr>
              <w:t>Director of Adult and Community Services and Director of Children’s Services to assess the impact of budget savings within their departments.</w:t>
            </w:r>
          </w:p>
          <w:p w14:paraId="3EAD76A3" w14:textId="77777777" w:rsidR="00EA0613" w:rsidRDefault="00EA0613">
            <w:pPr>
              <w:spacing w:line="240" w:lineRule="auto"/>
              <w:rPr>
                <w:rFonts w:cstheme="minorHAnsi"/>
                <w:szCs w:val="24"/>
              </w:rPr>
            </w:pPr>
          </w:p>
          <w:p w14:paraId="4E622404" w14:textId="30AE3648" w:rsidR="001E2313" w:rsidRDefault="009E4304" w:rsidP="06B49936">
            <w:pPr>
              <w:spacing w:line="240" w:lineRule="auto"/>
            </w:pPr>
            <w:r>
              <w:t xml:space="preserve">Director of </w:t>
            </w:r>
            <w:r w:rsidR="00EA0613">
              <w:t xml:space="preserve">Financial Services </w:t>
            </w:r>
            <w:r>
              <w:t>to c</w:t>
            </w:r>
            <w:r w:rsidR="00EA0613">
              <w:t xml:space="preserve">ontinue to raise awareness of the Council Tax Support Scheme and to ensure that equality is considered. </w:t>
            </w:r>
          </w:p>
          <w:p w14:paraId="44DB75C1" w14:textId="5FFC8A7A" w:rsidR="1AD6D21D" w:rsidRDefault="1AD6D21D" w:rsidP="1AD6D21D">
            <w:pPr>
              <w:spacing w:line="240" w:lineRule="auto"/>
            </w:pPr>
          </w:p>
          <w:p w14:paraId="32342F85" w14:textId="6132003E" w:rsidR="51473145" w:rsidRDefault="51473145" w:rsidP="1AD6D21D">
            <w:pPr>
              <w:spacing w:line="240" w:lineRule="auto"/>
            </w:pPr>
            <w:r w:rsidRPr="1AD6D21D">
              <w:t>Director of Adult and Community Services to continue to ensure that the service is delivered in an equitable manner</w:t>
            </w:r>
          </w:p>
          <w:p w14:paraId="5F9305EA" w14:textId="77777777" w:rsidR="001E2313" w:rsidRDefault="001E2313" w:rsidP="06B49936">
            <w:pPr>
              <w:spacing w:line="240" w:lineRule="auto"/>
            </w:pPr>
          </w:p>
          <w:p w14:paraId="4F249F30" w14:textId="374085B2" w:rsidR="00EA0613" w:rsidRDefault="00EA0613" w:rsidP="06B49936">
            <w:pPr>
              <w:spacing w:line="240" w:lineRule="auto"/>
            </w:pPr>
          </w:p>
          <w:p w14:paraId="39E2A6EB" w14:textId="77777777" w:rsidR="00EA0613" w:rsidRDefault="00EA0613">
            <w:pPr>
              <w:spacing w:line="240" w:lineRule="auto"/>
              <w:rPr>
                <w:rFonts w:cstheme="minorHAnsi"/>
                <w:szCs w:val="24"/>
              </w:rPr>
            </w:pPr>
          </w:p>
          <w:p w14:paraId="66E96153" w14:textId="1A1D389E" w:rsidR="00EA0613" w:rsidRPr="005D119E" w:rsidRDefault="00EA0613">
            <w:pPr>
              <w:spacing w:line="240" w:lineRule="auto"/>
              <w:rPr>
                <w:rFonts w:cstheme="minorHAnsi"/>
                <w:szCs w:val="24"/>
              </w:rPr>
            </w:pPr>
          </w:p>
        </w:tc>
      </w:tr>
      <w:tr w:rsidR="003C21AE" w:rsidRPr="001B3442" w14:paraId="468D0E80"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1A8185" w14:textId="273DAE71" w:rsidR="001B3442" w:rsidRPr="001B3442" w:rsidRDefault="001B3442">
            <w:pPr>
              <w:spacing w:line="240" w:lineRule="auto"/>
              <w:rPr>
                <w:rFonts w:cstheme="minorHAnsi"/>
                <w:szCs w:val="24"/>
              </w:rPr>
            </w:pPr>
            <w:r w:rsidRPr="001B3442">
              <w:rPr>
                <w:rFonts w:cstheme="minorHAnsi"/>
                <w:szCs w:val="24"/>
              </w:rPr>
              <w:t xml:space="preserve">Gender reassignment </w:t>
            </w:r>
          </w:p>
        </w:tc>
        <w:tc>
          <w:tcPr>
            <w:tcW w:w="3460" w:type="dxa"/>
            <w:tcBorders>
              <w:top w:val="single" w:sz="4" w:space="0" w:color="auto"/>
              <w:left w:val="single" w:sz="4" w:space="0" w:color="auto"/>
              <w:bottom w:val="single" w:sz="4" w:space="0" w:color="auto"/>
              <w:right w:val="single" w:sz="4" w:space="0" w:color="auto"/>
            </w:tcBorders>
          </w:tcPr>
          <w:p w14:paraId="5A2E0822" w14:textId="1F377C6A" w:rsidR="001B3442" w:rsidRDefault="001B3442" w:rsidP="1AD6D21D">
            <w:pPr>
              <w:spacing w:line="240" w:lineRule="auto"/>
            </w:pPr>
            <w:r w:rsidRPr="1AD6D21D">
              <w:t xml:space="preserve">In the 2021 Census, 0.4% of Torbay’s community answered that their gender identity was </w:t>
            </w:r>
            <w:r w:rsidR="17C80289" w:rsidRPr="1AD6D21D">
              <w:t>different from</w:t>
            </w:r>
            <w:r w:rsidRPr="1AD6D21D">
              <w:t xml:space="preserve"> their sex registered at birth</w:t>
            </w:r>
            <w:r w:rsidR="3AE0E629" w:rsidRPr="1AD6D21D">
              <w:t xml:space="preserve">. </w:t>
            </w:r>
            <w:r w:rsidRPr="1AD6D21D">
              <w:t xml:space="preserve">This proportion is </w:t>
            </w:r>
            <w:bookmarkStart w:id="4" w:name="_Int_fJZvahsF"/>
            <w:r w:rsidRPr="1AD6D21D">
              <w:t>similar to</w:t>
            </w:r>
            <w:bookmarkEnd w:id="4"/>
            <w:r w:rsidRPr="1AD6D21D">
              <w:t xml:space="preserve"> the Southwest and is lower than England.</w:t>
            </w:r>
          </w:p>
          <w:p w14:paraId="6140058B" w14:textId="77777777" w:rsidR="004C34B3" w:rsidRDefault="004C34B3">
            <w:pPr>
              <w:spacing w:line="240" w:lineRule="auto"/>
              <w:rPr>
                <w:rFonts w:cstheme="minorHAnsi"/>
                <w:szCs w:val="24"/>
              </w:rPr>
            </w:pPr>
          </w:p>
          <w:p w14:paraId="60E78F0D" w14:textId="2B8C792C" w:rsidR="004C34B3" w:rsidRPr="001B3442" w:rsidRDefault="004C34B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542F5F41" w14:textId="5A3E7E20" w:rsidR="00EA0613" w:rsidRDefault="0066259F">
            <w:pPr>
              <w:spacing w:line="240" w:lineRule="auto"/>
              <w:rPr>
                <w:rFonts w:cstheme="minorHAnsi"/>
                <w:szCs w:val="24"/>
              </w:rPr>
            </w:pPr>
            <w:r>
              <w:rPr>
                <w:rFonts w:cstheme="minorHAnsi"/>
                <w:b/>
                <w:bCs/>
                <w:szCs w:val="24"/>
              </w:rPr>
              <w:t>Financial Sustainability Plans</w:t>
            </w:r>
            <w:r w:rsidR="00EA0613" w:rsidRPr="00EA0613">
              <w:rPr>
                <w:rFonts w:cstheme="minorHAnsi"/>
                <w:szCs w:val="24"/>
              </w:rPr>
              <w:t xml:space="preserve"> </w:t>
            </w:r>
          </w:p>
          <w:p w14:paraId="2E67C75B" w14:textId="38662FBC" w:rsidR="001B3442" w:rsidRPr="001B3442" w:rsidRDefault="00EA0613">
            <w:pPr>
              <w:spacing w:line="240" w:lineRule="auto"/>
              <w:rPr>
                <w:rFonts w:cstheme="minorHAnsi"/>
                <w:szCs w:val="24"/>
              </w:rPr>
            </w:pPr>
            <w:r w:rsidRPr="00EA0613">
              <w:rPr>
                <w:rFonts w:cstheme="minorHAnsi"/>
                <w:szCs w:val="24"/>
              </w:rPr>
              <w:t>People with the protected characteristic of gender reassignment may disproportionately impacted by reductions in Adult Social Care and Children’s Services provisions if the ability to put in place appropriate and considered care and support is limited. Due to the limited data collected locally, it is not possible to fully understand the possible impacts on this group of service users.</w:t>
            </w:r>
          </w:p>
        </w:tc>
        <w:tc>
          <w:tcPr>
            <w:tcW w:w="2844" w:type="dxa"/>
            <w:tcBorders>
              <w:top w:val="single" w:sz="4" w:space="0" w:color="auto"/>
              <w:left w:val="single" w:sz="4" w:space="0" w:color="auto"/>
              <w:bottom w:val="single" w:sz="4" w:space="0" w:color="auto"/>
              <w:right w:val="single" w:sz="4" w:space="0" w:color="auto"/>
            </w:tcBorders>
          </w:tcPr>
          <w:p w14:paraId="5E57BB88" w14:textId="12893E76" w:rsidR="001B3442" w:rsidRPr="001B3442" w:rsidRDefault="0066259F">
            <w:pPr>
              <w:spacing w:line="240" w:lineRule="auto"/>
              <w:rPr>
                <w:rFonts w:cstheme="minorHAnsi"/>
                <w:szCs w:val="24"/>
              </w:rPr>
            </w:pPr>
            <w:r>
              <w:rPr>
                <w:rFonts w:cstheme="minorHAnsi"/>
                <w:b/>
                <w:bCs/>
                <w:szCs w:val="24"/>
              </w:rPr>
              <w:t>Financial Sustainability Plans</w:t>
            </w:r>
            <w:r w:rsidR="00EA0613" w:rsidRPr="00EA0613">
              <w:rPr>
                <w:rFonts w:cstheme="minorHAnsi"/>
                <w:szCs w:val="24"/>
              </w:rPr>
              <w:t xml:space="preserve"> Services will continue to take a case-by-case approach and person/ child centred approach in their delivery of services to ensure that individuals receive support tailored to their individual needs and circumstances. To ensure that equality is fully considered, individual decisions will be further</w:t>
            </w:r>
          </w:p>
        </w:tc>
        <w:tc>
          <w:tcPr>
            <w:tcW w:w="1824" w:type="dxa"/>
            <w:tcBorders>
              <w:top w:val="single" w:sz="4" w:space="0" w:color="auto"/>
              <w:left w:val="single" w:sz="4" w:space="0" w:color="auto"/>
              <w:bottom w:val="single" w:sz="4" w:space="0" w:color="auto"/>
              <w:right w:val="single" w:sz="4" w:space="0" w:color="auto"/>
            </w:tcBorders>
          </w:tcPr>
          <w:p w14:paraId="66C24990" w14:textId="5AB84A31" w:rsidR="001B3442" w:rsidRPr="005D119E" w:rsidRDefault="00EA0613">
            <w:pPr>
              <w:spacing w:line="240" w:lineRule="auto"/>
              <w:rPr>
                <w:rFonts w:cstheme="minorHAnsi"/>
                <w:szCs w:val="24"/>
              </w:rPr>
            </w:pPr>
            <w:r w:rsidRPr="00EA0613">
              <w:rPr>
                <w:rFonts w:cstheme="minorHAnsi"/>
                <w:szCs w:val="24"/>
              </w:rPr>
              <w:t>Director of Adult and Community Services and Director of Children’s Services to assess the impact of budget savings</w:t>
            </w:r>
            <w:r>
              <w:rPr>
                <w:rFonts w:cstheme="minorHAnsi"/>
                <w:szCs w:val="24"/>
              </w:rPr>
              <w:t xml:space="preserve"> w</w:t>
            </w:r>
            <w:r w:rsidRPr="00EA0613">
              <w:rPr>
                <w:rFonts w:cstheme="minorHAnsi"/>
                <w:szCs w:val="24"/>
              </w:rPr>
              <w:t>ithin their departments.</w:t>
            </w:r>
          </w:p>
        </w:tc>
      </w:tr>
      <w:tr w:rsidR="003C21AE" w:rsidRPr="001B3442" w14:paraId="78FF6F6E"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7221A3" w14:textId="0686FE66" w:rsidR="001B3442" w:rsidRPr="001B3442" w:rsidRDefault="001B3442">
            <w:pPr>
              <w:spacing w:line="240" w:lineRule="auto"/>
              <w:rPr>
                <w:rFonts w:cstheme="minorHAnsi"/>
                <w:szCs w:val="24"/>
              </w:rPr>
            </w:pPr>
            <w:r w:rsidRPr="001B3442">
              <w:rPr>
                <w:rFonts w:cstheme="minorHAnsi"/>
                <w:szCs w:val="24"/>
              </w:rPr>
              <w:t>Marriage and civil partnership</w:t>
            </w:r>
          </w:p>
        </w:tc>
        <w:tc>
          <w:tcPr>
            <w:tcW w:w="3460" w:type="dxa"/>
            <w:tcBorders>
              <w:top w:val="single" w:sz="4" w:space="0" w:color="auto"/>
              <w:left w:val="single" w:sz="4" w:space="0" w:color="auto"/>
              <w:bottom w:val="single" w:sz="4" w:space="0" w:color="auto"/>
              <w:right w:val="single" w:sz="4" w:space="0" w:color="auto"/>
            </w:tcBorders>
          </w:tcPr>
          <w:p w14:paraId="4097E3F7" w14:textId="77777777" w:rsidR="001B3442" w:rsidRDefault="001B3442">
            <w:pPr>
              <w:spacing w:line="240" w:lineRule="auto"/>
              <w:rPr>
                <w:rFonts w:cstheme="minorHAnsi"/>
                <w:szCs w:val="24"/>
              </w:rPr>
            </w:pPr>
            <w:r w:rsidRPr="001B3442">
              <w:rPr>
                <w:rFonts w:cstheme="minorHAnsi"/>
                <w:szCs w:val="24"/>
              </w:rPr>
              <w:t>Of those Torbay residents aged 16 and over at the time of 2021 Census, 44.2% of people were married or in a registered civil partnership.</w:t>
            </w:r>
          </w:p>
          <w:p w14:paraId="191CFFC4" w14:textId="77777777" w:rsidR="004C34B3" w:rsidRDefault="004C34B3">
            <w:pPr>
              <w:spacing w:line="240" w:lineRule="auto"/>
              <w:rPr>
                <w:rFonts w:cstheme="minorHAnsi"/>
                <w:szCs w:val="24"/>
              </w:rPr>
            </w:pPr>
          </w:p>
          <w:p w14:paraId="31813B97" w14:textId="47E37083" w:rsidR="004C34B3" w:rsidRPr="001B3442" w:rsidRDefault="004C34B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45D7CD5F" w14:textId="048B5CBC" w:rsidR="001B3442" w:rsidRPr="001B3442" w:rsidRDefault="00EA0613">
            <w:pPr>
              <w:spacing w:line="240" w:lineRule="auto"/>
              <w:rPr>
                <w:rFonts w:cstheme="minorHAnsi"/>
                <w:szCs w:val="24"/>
              </w:rPr>
            </w:pPr>
            <w:r w:rsidRPr="00EA0613">
              <w:rPr>
                <w:rFonts w:cstheme="minorHAnsi"/>
                <w:szCs w:val="24"/>
              </w:rPr>
              <w:t>There are no expected adverse impacts anticipated.</w:t>
            </w:r>
          </w:p>
        </w:tc>
        <w:tc>
          <w:tcPr>
            <w:tcW w:w="2844" w:type="dxa"/>
            <w:tcBorders>
              <w:top w:val="single" w:sz="4" w:space="0" w:color="auto"/>
              <w:left w:val="single" w:sz="4" w:space="0" w:color="auto"/>
              <w:bottom w:val="single" w:sz="4" w:space="0" w:color="auto"/>
              <w:right w:val="single" w:sz="4" w:space="0" w:color="auto"/>
            </w:tcBorders>
          </w:tcPr>
          <w:p w14:paraId="02EE943A" w14:textId="1606AFAC" w:rsidR="001B3442" w:rsidRPr="001B3442" w:rsidRDefault="00EA0613">
            <w:pPr>
              <w:spacing w:line="240" w:lineRule="auto"/>
              <w:rPr>
                <w:rFonts w:cstheme="minorHAnsi"/>
                <w:szCs w:val="24"/>
              </w:rPr>
            </w:pPr>
            <w:r>
              <w:rPr>
                <w:rFonts w:cstheme="minorHAnsi"/>
                <w:szCs w:val="24"/>
              </w:rPr>
              <w:t>N</w:t>
            </w:r>
            <w:r w:rsidRPr="00EA0613">
              <w:rPr>
                <w:rFonts w:cstheme="minorHAnsi"/>
                <w:szCs w:val="24"/>
              </w:rPr>
              <w:t>ot applicable.</w:t>
            </w:r>
          </w:p>
        </w:tc>
        <w:tc>
          <w:tcPr>
            <w:tcW w:w="1824" w:type="dxa"/>
            <w:tcBorders>
              <w:top w:val="single" w:sz="4" w:space="0" w:color="auto"/>
              <w:left w:val="single" w:sz="4" w:space="0" w:color="auto"/>
              <w:bottom w:val="single" w:sz="4" w:space="0" w:color="auto"/>
              <w:right w:val="single" w:sz="4" w:space="0" w:color="auto"/>
            </w:tcBorders>
          </w:tcPr>
          <w:p w14:paraId="15B918F7" w14:textId="0E1E8077" w:rsidR="001B3442" w:rsidRPr="005D119E" w:rsidRDefault="00EA0613">
            <w:pPr>
              <w:spacing w:line="240" w:lineRule="auto"/>
              <w:rPr>
                <w:rFonts w:cstheme="minorHAnsi"/>
                <w:szCs w:val="24"/>
              </w:rPr>
            </w:pPr>
            <w:r>
              <w:rPr>
                <w:rFonts w:cstheme="minorHAnsi"/>
                <w:szCs w:val="24"/>
              </w:rPr>
              <w:t>N</w:t>
            </w:r>
            <w:r w:rsidRPr="00EA0613">
              <w:rPr>
                <w:rFonts w:cstheme="minorHAnsi"/>
                <w:szCs w:val="24"/>
              </w:rPr>
              <w:t>ot applicable.</w:t>
            </w:r>
          </w:p>
        </w:tc>
      </w:tr>
      <w:tr w:rsidR="003C21AE" w:rsidRPr="001B3442" w14:paraId="50D5C15D"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62CC8A" w14:textId="07DBF39D" w:rsidR="00EA0613" w:rsidRPr="001B3442" w:rsidRDefault="00EA0613" w:rsidP="00EA0613">
            <w:pPr>
              <w:spacing w:line="240" w:lineRule="auto"/>
              <w:rPr>
                <w:rFonts w:cstheme="minorHAnsi"/>
                <w:szCs w:val="24"/>
              </w:rPr>
            </w:pPr>
            <w:r w:rsidRPr="001B3442">
              <w:rPr>
                <w:rFonts w:cstheme="minorHAnsi"/>
                <w:szCs w:val="24"/>
              </w:rPr>
              <w:t xml:space="preserve">Pregnancy and maternity </w:t>
            </w:r>
          </w:p>
        </w:tc>
        <w:tc>
          <w:tcPr>
            <w:tcW w:w="3460" w:type="dxa"/>
            <w:tcBorders>
              <w:top w:val="single" w:sz="4" w:space="0" w:color="auto"/>
              <w:left w:val="single" w:sz="4" w:space="0" w:color="auto"/>
              <w:bottom w:val="single" w:sz="4" w:space="0" w:color="auto"/>
              <w:right w:val="single" w:sz="4" w:space="0" w:color="auto"/>
            </w:tcBorders>
          </w:tcPr>
          <w:p w14:paraId="7E48D25E" w14:textId="5F4FB62E" w:rsidR="00EA0613" w:rsidRDefault="00EA0613" w:rsidP="1AD6D21D">
            <w:pPr>
              <w:spacing w:line="240" w:lineRule="auto"/>
            </w:pPr>
            <w:r w:rsidRPr="1AD6D21D">
              <w:t>Over the period 2010 to 2021, the rate of live births (as a proportion of females aged 15 to 44) has been slightly but significantly higher in Torbay (average of 63.7 per 1,000) than England (60.2) and the South West (58.4)</w:t>
            </w:r>
            <w:r w:rsidR="39B4BE63" w:rsidRPr="1AD6D21D">
              <w:t xml:space="preserve">. </w:t>
            </w:r>
            <w:r w:rsidRPr="1AD6D21D">
              <w:t>There has been a notable fall in the numbers of live births since the middle of the last decade across all geographical areas.</w:t>
            </w:r>
          </w:p>
          <w:p w14:paraId="0E3EB2F8" w14:textId="77777777" w:rsidR="00EA0613" w:rsidRDefault="00EA0613" w:rsidP="00EA0613">
            <w:pPr>
              <w:spacing w:line="240" w:lineRule="auto"/>
              <w:rPr>
                <w:rFonts w:cstheme="minorHAnsi"/>
                <w:szCs w:val="24"/>
              </w:rPr>
            </w:pPr>
          </w:p>
          <w:p w14:paraId="3B4DB475" w14:textId="482521C1"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2F10BCC1" w14:textId="64EE9403" w:rsidR="00EA0613" w:rsidRPr="001B3442" w:rsidRDefault="00EA0613" w:rsidP="00EA0613">
            <w:pPr>
              <w:spacing w:line="240" w:lineRule="auto"/>
              <w:rPr>
                <w:rFonts w:cstheme="minorHAnsi"/>
                <w:szCs w:val="24"/>
              </w:rPr>
            </w:pPr>
            <w:r w:rsidRPr="00EA0613">
              <w:rPr>
                <w:rFonts w:cstheme="minorHAnsi"/>
                <w:szCs w:val="24"/>
              </w:rPr>
              <w:t>There are no expected adverse impacts anticipated.</w:t>
            </w:r>
          </w:p>
        </w:tc>
        <w:tc>
          <w:tcPr>
            <w:tcW w:w="2844" w:type="dxa"/>
            <w:tcBorders>
              <w:top w:val="single" w:sz="4" w:space="0" w:color="auto"/>
              <w:left w:val="single" w:sz="4" w:space="0" w:color="auto"/>
              <w:bottom w:val="single" w:sz="4" w:space="0" w:color="auto"/>
              <w:right w:val="single" w:sz="4" w:space="0" w:color="auto"/>
            </w:tcBorders>
          </w:tcPr>
          <w:p w14:paraId="30260032" w14:textId="2FB12277" w:rsidR="00EA0613" w:rsidRPr="001B3442" w:rsidRDefault="00EA0613" w:rsidP="00EA0613">
            <w:pPr>
              <w:spacing w:line="240" w:lineRule="auto"/>
              <w:rPr>
                <w:rFonts w:cstheme="minorHAnsi"/>
                <w:szCs w:val="24"/>
              </w:rPr>
            </w:pPr>
            <w:r>
              <w:rPr>
                <w:rFonts w:cstheme="minorHAnsi"/>
                <w:szCs w:val="24"/>
              </w:rPr>
              <w:t>N</w:t>
            </w:r>
            <w:r w:rsidRPr="00EA0613">
              <w:rPr>
                <w:rFonts w:cstheme="minorHAnsi"/>
                <w:szCs w:val="24"/>
              </w:rPr>
              <w:t>ot applicable.</w:t>
            </w:r>
          </w:p>
        </w:tc>
        <w:tc>
          <w:tcPr>
            <w:tcW w:w="1824" w:type="dxa"/>
            <w:tcBorders>
              <w:top w:val="single" w:sz="4" w:space="0" w:color="auto"/>
              <w:left w:val="single" w:sz="4" w:space="0" w:color="auto"/>
              <w:bottom w:val="single" w:sz="4" w:space="0" w:color="auto"/>
              <w:right w:val="single" w:sz="4" w:space="0" w:color="auto"/>
            </w:tcBorders>
          </w:tcPr>
          <w:p w14:paraId="3CE24DF7" w14:textId="3983EDDF" w:rsidR="00EA0613" w:rsidRPr="005D119E" w:rsidRDefault="00EA0613" w:rsidP="00EA0613">
            <w:pPr>
              <w:spacing w:line="240" w:lineRule="auto"/>
              <w:rPr>
                <w:rFonts w:cstheme="minorHAnsi"/>
                <w:szCs w:val="24"/>
              </w:rPr>
            </w:pPr>
            <w:r>
              <w:rPr>
                <w:rFonts w:cstheme="minorHAnsi"/>
                <w:szCs w:val="24"/>
              </w:rPr>
              <w:t>N</w:t>
            </w:r>
            <w:r w:rsidRPr="00EA0613">
              <w:rPr>
                <w:rFonts w:cstheme="minorHAnsi"/>
                <w:szCs w:val="24"/>
              </w:rPr>
              <w:t>ot applicable.</w:t>
            </w:r>
          </w:p>
        </w:tc>
      </w:tr>
      <w:tr w:rsidR="003C21AE" w:rsidRPr="001B3442" w14:paraId="10F530CC"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67F550" w14:textId="2A873C1F" w:rsidR="00EA0613" w:rsidRPr="001B3442" w:rsidRDefault="00EA0613" w:rsidP="00EA0613">
            <w:pPr>
              <w:spacing w:line="240" w:lineRule="auto"/>
              <w:rPr>
                <w:rFonts w:cstheme="minorHAnsi"/>
                <w:szCs w:val="24"/>
              </w:rPr>
            </w:pPr>
            <w:r w:rsidRPr="001B3442">
              <w:rPr>
                <w:rFonts w:cstheme="minorHAnsi"/>
                <w:szCs w:val="24"/>
              </w:rPr>
              <w:t xml:space="preserve">Race </w:t>
            </w:r>
          </w:p>
        </w:tc>
        <w:tc>
          <w:tcPr>
            <w:tcW w:w="3460" w:type="dxa"/>
            <w:tcBorders>
              <w:top w:val="single" w:sz="4" w:space="0" w:color="auto"/>
              <w:left w:val="single" w:sz="4" w:space="0" w:color="auto"/>
              <w:bottom w:val="single" w:sz="4" w:space="0" w:color="auto"/>
              <w:right w:val="single" w:sz="4" w:space="0" w:color="auto"/>
            </w:tcBorders>
          </w:tcPr>
          <w:p w14:paraId="1621F950" w14:textId="6E2C9F8D" w:rsidR="00EA0613" w:rsidRDefault="00EA0613" w:rsidP="1AD6D21D">
            <w:pPr>
              <w:spacing w:line="240" w:lineRule="auto"/>
            </w:pPr>
            <w:r w:rsidRPr="1AD6D21D">
              <w:t>In the 2021 Census, 96.1% of Torbay residents described their ethnicity as white</w:t>
            </w:r>
            <w:r w:rsidR="7CDD8238" w:rsidRPr="1AD6D21D">
              <w:t xml:space="preserve">. </w:t>
            </w:r>
            <w:r w:rsidRPr="1AD6D21D">
              <w:t>This is a higher proportion than the South West and England. Black, Asian and minority ethnic individuals are more likely to live in areas of Torbay classified as being amongst the 20% most deprived areas in England.</w:t>
            </w:r>
          </w:p>
          <w:p w14:paraId="5D7DE57B" w14:textId="77777777" w:rsidR="00EA0613" w:rsidRDefault="00EA0613" w:rsidP="00EA0613">
            <w:pPr>
              <w:spacing w:line="240" w:lineRule="auto"/>
              <w:rPr>
                <w:rFonts w:cstheme="minorHAnsi"/>
                <w:szCs w:val="24"/>
              </w:rPr>
            </w:pPr>
          </w:p>
          <w:p w14:paraId="363AC073" w14:textId="456CABF8"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066119BA" w14:textId="1B81DAC5" w:rsidR="00EA0613" w:rsidRPr="00EA0613" w:rsidRDefault="0066259F" w:rsidP="00EA0613">
            <w:pPr>
              <w:spacing w:line="240" w:lineRule="auto"/>
              <w:rPr>
                <w:rFonts w:cstheme="minorHAnsi"/>
                <w:b/>
                <w:bCs/>
                <w:szCs w:val="24"/>
              </w:rPr>
            </w:pPr>
            <w:r>
              <w:rPr>
                <w:rFonts w:cstheme="minorHAnsi"/>
                <w:b/>
                <w:bCs/>
                <w:szCs w:val="24"/>
              </w:rPr>
              <w:t>Financial Sustainability Plans</w:t>
            </w:r>
            <w:r w:rsidR="00EA0613" w:rsidRPr="00EA0613">
              <w:rPr>
                <w:rFonts w:cstheme="minorHAnsi"/>
                <w:b/>
                <w:bCs/>
                <w:szCs w:val="24"/>
              </w:rPr>
              <w:t xml:space="preserve"> </w:t>
            </w:r>
          </w:p>
          <w:p w14:paraId="5749E64A" w14:textId="71E7BDA5" w:rsidR="00EA0613" w:rsidRDefault="00A24335" w:rsidP="06B49936">
            <w:pPr>
              <w:spacing w:line="240" w:lineRule="auto"/>
            </w:pPr>
            <w:r>
              <w:t xml:space="preserve">The joint transformation plan for adult social care and </w:t>
            </w:r>
            <w:r w:rsidR="0066259F">
              <w:t>Financial Sustainability Plans</w:t>
            </w:r>
            <w:r w:rsidR="00EA0613">
              <w:t xml:space="preserve"> in Children’s Services may disproportionately impact people from </w:t>
            </w:r>
            <w:bookmarkStart w:id="5" w:name="_Int_ydZR0FoO"/>
            <w:r w:rsidR="00EA0613">
              <w:t>different cultural</w:t>
            </w:r>
            <w:bookmarkEnd w:id="5"/>
            <w:r w:rsidR="00EA0613">
              <w:t xml:space="preserve"> backgrounds if the ability to put in place culturally appropriate and considered care and support is limited.</w:t>
            </w:r>
          </w:p>
          <w:p w14:paraId="3379436E" w14:textId="77777777" w:rsidR="00EA0613" w:rsidRDefault="00EA0613" w:rsidP="1AD6D21D">
            <w:pPr>
              <w:spacing w:line="240" w:lineRule="auto"/>
            </w:pPr>
          </w:p>
          <w:p w14:paraId="6E07B255" w14:textId="52FE7FF8" w:rsidR="1AD6D21D" w:rsidRDefault="1AD6D21D" w:rsidP="1AD6D21D">
            <w:pPr>
              <w:spacing w:line="240" w:lineRule="auto"/>
            </w:pPr>
          </w:p>
          <w:p w14:paraId="20EC8C5A" w14:textId="144E7C35" w:rsidR="695EB2E9" w:rsidRDefault="695EB2E9" w:rsidP="1AD6D21D">
            <w:pPr>
              <w:spacing w:line="240" w:lineRule="auto"/>
            </w:pPr>
            <w:r w:rsidRPr="1AD6D21D">
              <w:rPr>
                <w:b/>
                <w:bCs/>
              </w:rPr>
              <w:t>Housing Needs</w:t>
            </w:r>
          </w:p>
          <w:p w14:paraId="5DD9E22D" w14:textId="2FBBB65C" w:rsidR="695EB2E9" w:rsidRDefault="695EB2E9" w:rsidP="1AD6D21D">
            <w:pPr>
              <w:spacing w:line="240" w:lineRule="auto"/>
            </w:pPr>
            <w:r>
              <w:t xml:space="preserve">The current high costs of living and the increasing cost of accommodation is especially challenging for people from ethnically minoritised backgrounds who are more likely to experience financial difficulty. </w:t>
            </w:r>
          </w:p>
          <w:p w14:paraId="150B0A75" w14:textId="3236EB4D" w:rsidR="1AD6D21D" w:rsidRDefault="1AD6D21D" w:rsidP="1AD6D21D">
            <w:pPr>
              <w:spacing w:line="240" w:lineRule="auto"/>
              <w:rPr>
                <w:b/>
                <w:bCs/>
              </w:rPr>
            </w:pPr>
          </w:p>
          <w:p w14:paraId="07739148" w14:textId="470F5CAD" w:rsidR="1AD6D21D" w:rsidRDefault="1AD6D21D" w:rsidP="1AD6D21D">
            <w:pPr>
              <w:spacing w:line="240" w:lineRule="auto"/>
            </w:pPr>
          </w:p>
          <w:p w14:paraId="3F9D9334" w14:textId="75910EDB" w:rsidR="1AD6D21D" w:rsidRDefault="1AD6D21D" w:rsidP="1AD6D21D">
            <w:pPr>
              <w:spacing w:line="240" w:lineRule="auto"/>
            </w:pPr>
          </w:p>
          <w:p w14:paraId="3C0FD24D" w14:textId="77777777" w:rsidR="00EA0613" w:rsidRDefault="00EA0613" w:rsidP="00EA0613">
            <w:pPr>
              <w:spacing w:line="240" w:lineRule="auto"/>
              <w:rPr>
                <w:rFonts w:cstheme="minorHAnsi"/>
                <w:szCs w:val="24"/>
              </w:rPr>
            </w:pPr>
          </w:p>
          <w:p w14:paraId="06F5D313" w14:textId="7C078D0E" w:rsidR="00EA0613" w:rsidRPr="001B3442" w:rsidRDefault="00EA0613" w:rsidP="00EA0613">
            <w:pPr>
              <w:spacing w:line="240" w:lineRule="auto"/>
              <w:rPr>
                <w:rFonts w:cstheme="minorHAnsi"/>
                <w:szCs w:val="24"/>
              </w:rPr>
            </w:pPr>
            <w:r w:rsidRPr="00EA0613">
              <w:rPr>
                <w:rFonts w:cstheme="minorHAnsi"/>
                <w:b/>
                <w:bCs/>
                <w:szCs w:val="24"/>
              </w:rPr>
              <w:t>Council Tax and fees and charges</w:t>
            </w:r>
            <w:r w:rsidRPr="00EA0613">
              <w:rPr>
                <w:rFonts w:cstheme="minorHAnsi"/>
                <w:szCs w:val="24"/>
              </w:rPr>
              <w:t xml:space="preserve"> People from black, Asian and minori</w:t>
            </w:r>
            <w:r>
              <w:rPr>
                <w:rFonts w:cstheme="minorHAnsi"/>
                <w:szCs w:val="24"/>
              </w:rPr>
              <w:t xml:space="preserve">tised </w:t>
            </w:r>
            <w:r w:rsidRPr="00EA0613">
              <w:rPr>
                <w:rFonts w:cstheme="minorHAnsi"/>
                <w:szCs w:val="24"/>
              </w:rPr>
              <w:t>ethnic backgrounds may be disproportionately impacted by increases to Council Tax and fees and charges due to the increased likelihood of financial insecurity.</w:t>
            </w:r>
          </w:p>
        </w:tc>
        <w:tc>
          <w:tcPr>
            <w:tcW w:w="2844" w:type="dxa"/>
            <w:tcBorders>
              <w:top w:val="single" w:sz="4" w:space="0" w:color="auto"/>
              <w:left w:val="single" w:sz="4" w:space="0" w:color="auto"/>
              <w:bottom w:val="single" w:sz="4" w:space="0" w:color="auto"/>
              <w:right w:val="single" w:sz="4" w:space="0" w:color="auto"/>
            </w:tcBorders>
          </w:tcPr>
          <w:p w14:paraId="496FA216" w14:textId="5E678CA3" w:rsidR="00EA0613" w:rsidRDefault="0066259F" w:rsidP="1AD6D21D">
            <w:pPr>
              <w:spacing w:line="240" w:lineRule="auto"/>
            </w:pPr>
            <w:r w:rsidRPr="1AD6D21D">
              <w:rPr>
                <w:b/>
                <w:bCs/>
              </w:rPr>
              <w:t>Financial Sustainability Plans</w:t>
            </w:r>
            <w:r w:rsidR="00EA0613" w:rsidRPr="1AD6D21D">
              <w:t xml:space="preserve"> Services will continue to take a case-by-case approach and person/ child centred approach in their delivery of services to ensure that individuals receive support tailored to </w:t>
            </w:r>
            <w:bookmarkStart w:id="6" w:name="_Int_U0cpV1Bx"/>
            <w:r w:rsidR="00EA0613" w:rsidRPr="1AD6D21D">
              <w:t>their</w:t>
            </w:r>
            <w:bookmarkEnd w:id="6"/>
          </w:p>
          <w:p w14:paraId="7515E7FD" w14:textId="082B1366" w:rsidR="00EA0613" w:rsidRDefault="00EA0613" w:rsidP="1AD6D21D">
            <w:pPr>
              <w:spacing w:line="240" w:lineRule="auto"/>
            </w:pPr>
            <w:r w:rsidRPr="1AD6D21D">
              <w:t xml:space="preserve">individual needs and circumstances. To ensure that equality is fully considered, individual decisions will be further assessed as proposals develop and go through the </w:t>
            </w:r>
            <w:r w:rsidR="367D2A3D" w:rsidRPr="1AD6D21D">
              <w:t>decision-making</w:t>
            </w:r>
            <w:r w:rsidRPr="1AD6D21D">
              <w:t xml:space="preserve"> cycle independently. In addition, where relevant existing council policies will continue to be followed to ensure that service delivery is equitable.</w:t>
            </w:r>
          </w:p>
          <w:p w14:paraId="3E677FE4" w14:textId="3453C82A" w:rsidR="1AD6D21D" w:rsidRDefault="1AD6D21D" w:rsidP="1AD6D21D">
            <w:pPr>
              <w:spacing w:line="240" w:lineRule="auto"/>
            </w:pPr>
          </w:p>
          <w:p w14:paraId="35CC6222" w14:textId="23E1A802" w:rsidR="79427811" w:rsidRDefault="79427811" w:rsidP="1AD6D21D">
            <w:pPr>
              <w:spacing w:line="240" w:lineRule="auto"/>
              <w:rPr>
                <w:b/>
                <w:bCs/>
              </w:rPr>
            </w:pPr>
            <w:r w:rsidRPr="1AD6D21D">
              <w:rPr>
                <w:b/>
                <w:bCs/>
              </w:rPr>
              <w:t>Housing Needs</w:t>
            </w:r>
          </w:p>
          <w:p w14:paraId="18A62E7C" w14:textId="56FBD33C" w:rsidR="79427811" w:rsidRDefault="79427811" w:rsidP="1AD6D21D">
            <w:pPr>
              <w:spacing w:line="240" w:lineRule="auto"/>
            </w:pPr>
            <w:r w:rsidRPr="1AD6D21D">
              <w:t>All individuals, and families, will continue to be assessed based on their identified needs. We will continue to monitor data to identify trends in those experiencing housing challenges.</w:t>
            </w:r>
          </w:p>
          <w:p w14:paraId="79F05A8F" w14:textId="77777777" w:rsidR="00EA0613" w:rsidRDefault="00EA0613" w:rsidP="00EA0613">
            <w:pPr>
              <w:spacing w:line="240" w:lineRule="auto"/>
              <w:rPr>
                <w:rFonts w:cstheme="minorHAnsi"/>
                <w:szCs w:val="24"/>
              </w:rPr>
            </w:pPr>
          </w:p>
          <w:p w14:paraId="0D5D728B" w14:textId="1E2BBE39" w:rsidR="00EA0613" w:rsidRPr="00EA0613" w:rsidRDefault="00EA0613" w:rsidP="00EA0613">
            <w:pPr>
              <w:spacing w:line="240" w:lineRule="auto"/>
              <w:rPr>
                <w:rFonts w:cstheme="minorHAnsi"/>
                <w:b/>
                <w:bCs/>
                <w:szCs w:val="24"/>
              </w:rPr>
            </w:pPr>
            <w:r>
              <w:rPr>
                <w:rFonts w:cstheme="minorHAnsi"/>
                <w:b/>
                <w:bCs/>
                <w:szCs w:val="24"/>
              </w:rPr>
              <w:t>C</w:t>
            </w:r>
            <w:r w:rsidRPr="00EA0613">
              <w:rPr>
                <w:rFonts w:cstheme="minorHAnsi"/>
                <w:b/>
                <w:bCs/>
                <w:szCs w:val="24"/>
              </w:rPr>
              <w:t>ouncil Tax and fees and charges</w:t>
            </w:r>
          </w:p>
          <w:p w14:paraId="1FAF2478" w14:textId="0EB33DFB" w:rsidR="00EA0613" w:rsidRPr="001B3442" w:rsidRDefault="00EA0613" w:rsidP="00EA0613">
            <w:pPr>
              <w:spacing w:line="240" w:lineRule="auto"/>
              <w:rPr>
                <w:rFonts w:cstheme="minorHAnsi"/>
                <w:szCs w:val="24"/>
              </w:rPr>
            </w:pPr>
            <w:r w:rsidRPr="00EA0613">
              <w:rPr>
                <w:rFonts w:cstheme="minorHAnsi"/>
                <w:szCs w:val="24"/>
              </w:rPr>
              <w:t xml:space="preserve"> A Council Tax Support Scheme is in place which limited the amount that eligible applicants are required to pay to 75%. The Exceptional Hardship fund is also available to provide financial support to eligible applicants facing exceptional financial hardship.</w:t>
            </w:r>
          </w:p>
        </w:tc>
        <w:tc>
          <w:tcPr>
            <w:tcW w:w="1824" w:type="dxa"/>
            <w:tcBorders>
              <w:top w:val="single" w:sz="4" w:space="0" w:color="auto"/>
              <w:left w:val="single" w:sz="4" w:space="0" w:color="auto"/>
              <w:bottom w:val="single" w:sz="4" w:space="0" w:color="auto"/>
              <w:right w:val="single" w:sz="4" w:space="0" w:color="auto"/>
            </w:tcBorders>
          </w:tcPr>
          <w:p w14:paraId="67E382A5" w14:textId="77777777" w:rsidR="00EA0613" w:rsidRDefault="00EA0613" w:rsidP="00EA0613">
            <w:pPr>
              <w:spacing w:line="240" w:lineRule="auto"/>
              <w:rPr>
                <w:rFonts w:cstheme="minorHAnsi"/>
                <w:szCs w:val="24"/>
              </w:rPr>
            </w:pPr>
            <w:r w:rsidRPr="00EA0613">
              <w:rPr>
                <w:rFonts w:cstheme="minorHAnsi"/>
                <w:szCs w:val="24"/>
              </w:rPr>
              <w:t>Director of Adult and Community Services and Director of Children’s Services to assess the impact of budget savings</w:t>
            </w:r>
            <w:r>
              <w:rPr>
                <w:rFonts w:cstheme="minorHAnsi"/>
                <w:szCs w:val="24"/>
              </w:rPr>
              <w:t xml:space="preserve"> w</w:t>
            </w:r>
            <w:r w:rsidRPr="00EA0613">
              <w:rPr>
                <w:rFonts w:cstheme="minorHAnsi"/>
                <w:szCs w:val="24"/>
              </w:rPr>
              <w:t>ithin their departments.</w:t>
            </w:r>
          </w:p>
          <w:p w14:paraId="155A7F82" w14:textId="77777777" w:rsidR="00EA0613" w:rsidRDefault="00EA0613" w:rsidP="00EA0613">
            <w:pPr>
              <w:spacing w:line="240" w:lineRule="auto"/>
              <w:rPr>
                <w:rFonts w:cstheme="minorHAnsi"/>
                <w:szCs w:val="24"/>
              </w:rPr>
            </w:pPr>
          </w:p>
          <w:p w14:paraId="1D16DBA6" w14:textId="794A100B" w:rsidR="00EA0613" w:rsidRPr="005D119E" w:rsidRDefault="003C21AE" w:rsidP="06B49936">
            <w:pPr>
              <w:spacing w:line="240" w:lineRule="auto"/>
            </w:pPr>
            <w:r w:rsidRPr="06B49936">
              <w:t xml:space="preserve">Director of </w:t>
            </w:r>
            <w:r w:rsidR="00EA0613" w:rsidRPr="06B49936">
              <w:t xml:space="preserve">Financial Services </w:t>
            </w:r>
            <w:r w:rsidRPr="06B49936">
              <w:t>to c</w:t>
            </w:r>
            <w:r w:rsidR="00EA0613" w:rsidRPr="06B49936">
              <w:t>ontinue to raise awareness of the Council Tax Support Scheme and to ensure that equality is considered.</w:t>
            </w:r>
          </w:p>
        </w:tc>
      </w:tr>
      <w:tr w:rsidR="003C21AE" w:rsidRPr="001B3442" w14:paraId="5A164ABC"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5DAC25" w14:textId="6E8CCF61" w:rsidR="00EA0613" w:rsidRPr="001B3442" w:rsidRDefault="00EA0613" w:rsidP="00EA0613">
            <w:pPr>
              <w:spacing w:line="240" w:lineRule="auto"/>
              <w:rPr>
                <w:rFonts w:cstheme="minorHAnsi"/>
                <w:szCs w:val="24"/>
              </w:rPr>
            </w:pPr>
            <w:r w:rsidRPr="001B3442">
              <w:rPr>
                <w:rFonts w:cstheme="minorHAnsi"/>
                <w:szCs w:val="24"/>
              </w:rPr>
              <w:t>Religion and belief</w:t>
            </w:r>
          </w:p>
        </w:tc>
        <w:tc>
          <w:tcPr>
            <w:tcW w:w="3460" w:type="dxa"/>
            <w:tcBorders>
              <w:top w:val="single" w:sz="4" w:space="0" w:color="auto"/>
              <w:left w:val="single" w:sz="4" w:space="0" w:color="auto"/>
              <w:bottom w:val="single" w:sz="4" w:space="0" w:color="auto"/>
              <w:right w:val="single" w:sz="4" w:space="0" w:color="auto"/>
            </w:tcBorders>
          </w:tcPr>
          <w:p w14:paraId="15B4CCA4" w14:textId="77777777" w:rsidR="00EA0613" w:rsidRDefault="00EA0613" w:rsidP="00EA0613">
            <w:pPr>
              <w:spacing w:line="240" w:lineRule="auto"/>
              <w:rPr>
                <w:rFonts w:cstheme="minorHAnsi"/>
                <w:szCs w:val="24"/>
              </w:rPr>
            </w:pPr>
            <w:r w:rsidRPr="001B3442">
              <w:rPr>
                <w:rFonts w:cstheme="minorHAnsi"/>
                <w:szCs w:val="24"/>
              </w:rPr>
              <w:t>64.8% of Torbay residents who stated that they have a religion in the 2021 census.</w:t>
            </w:r>
          </w:p>
          <w:p w14:paraId="3D4038E4" w14:textId="77777777" w:rsidR="00EA0613" w:rsidRDefault="00EA0613" w:rsidP="00EA0613">
            <w:pPr>
              <w:spacing w:line="240" w:lineRule="auto"/>
              <w:rPr>
                <w:rFonts w:cstheme="minorHAnsi"/>
                <w:szCs w:val="24"/>
              </w:rPr>
            </w:pPr>
          </w:p>
          <w:p w14:paraId="09A1DD76" w14:textId="049B01F6"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17C2DA3D" w14:textId="063CBCB8" w:rsidR="00EA0613" w:rsidRPr="00EA0613" w:rsidRDefault="0066259F" w:rsidP="00EA0613">
            <w:pPr>
              <w:spacing w:line="240" w:lineRule="auto"/>
              <w:rPr>
                <w:rFonts w:cstheme="minorHAnsi"/>
                <w:b/>
                <w:bCs/>
                <w:szCs w:val="24"/>
              </w:rPr>
            </w:pPr>
            <w:r>
              <w:rPr>
                <w:rFonts w:cstheme="minorHAnsi"/>
                <w:b/>
                <w:bCs/>
                <w:szCs w:val="24"/>
              </w:rPr>
              <w:t>Financial Sustainability Plans</w:t>
            </w:r>
            <w:r w:rsidR="00EA0613" w:rsidRPr="00EA0613">
              <w:rPr>
                <w:rFonts w:cstheme="minorHAnsi"/>
                <w:b/>
                <w:bCs/>
                <w:szCs w:val="24"/>
              </w:rPr>
              <w:t xml:space="preserve"> </w:t>
            </w:r>
          </w:p>
          <w:p w14:paraId="293B1DA5" w14:textId="3CC219E9" w:rsidR="00EA0613" w:rsidRDefault="00A24335" w:rsidP="06B49936">
            <w:pPr>
              <w:spacing w:line="240" w:lineRule="auto"/>
            </w:pPr>
            <w:r>
              <w:t xml:space="preserve">The joint transformation plan for adult social care and </w:t>
            </w:r>
            <w:r w:rsidR="0066259F">
              <w:t>Financial Sustainability Plans</w:t>
            </w:r>
            <w:r w:rsidR="00EA0613">
              <w:t xml:space="preserve"> in Children’s Services may disproportionately impact people from </w:t>
            </w:r>
            <w:bookmarkStart w:id="7" w:name="_Int_EfMn4LDu"/>
            <w:r w:rsidR="00EA0613">
              <w:t>different cultural</w:t>
            </w:r>
            <w:bookmarkEnd w:id="7"/>
            <w:r w:rsidR="00EA0613">
              <w:t xml:space="preserve"> backgrounds if the ability to put in place culturally appropriate and considered care and support is limited.</w:t>
            </w:r>
          </w:p>
          <w:p w14:paraId="21B9BF6D" w14:textId="77777777" w:rsidR="00EA0613" w:rsidRPr="001B3442" w:rsidRDefault="00EA0613" w:rsidP="00EA0613">
            <w:pPr>
              <w:spacing w:line="240" w:lineRule="auto"/>
              <w:rPr>
                <w:rFonts w:cstheme="minorHAnsi"/>
                <w:szCs w:val="24"/>
              </w:rPr>
            </w:pPr>
          </w:p>
        </w:tc>
        <w:tc>
          <w:tcPr>
            <w:tcW w:w="2844" w:type="dxa"/>
            <w:tcBorders>
              <w:top w:val="single" w:sz="4" w:space="0" w:color="auto"/>
              <w:left w:val="single" w:sz="4" w:space="0" w:color="auto"/>
              <w:bottom w:val="single" w:sz="4" w:space="0" w:color="auto"/>
              <w:right w:val="single" w:sz="4" w:space="0" w:color="auto"/>
            </w:tcBorders>
          </w:tcPr>
          <w:p w14:paraId="49DA30A2" w14:textId="727212C7" w:rsidR="00EA0613" w:rsidRDefault="0066259F" w:rsidP="1AD6D21D">
            <w:pPr>
              <w:spacing w:line="240" w:lineRule="auto"/>
            </w:pPr>
            <w:r w:rsidRPr="1AD6D21D">
              <w:rPr>
                <w:b/>
                <w:bCs/>
              </w:rPr>
              <w:t>Financial Sustainability Plans</w:t>
            </w:r>
            <w:r w:rsidR="00EA0613" w:rsidRPr="1AD6D21D">
              <w:t xml:space="preserve"> Services will continue to take a case-by-case approach and person/ child centred approach in their delivery of services to ensure that individuals receive support tailored to </w:t>
            </w:r>
            <w:bookmarkStart w:id="8" w:name="_Int_rKFOf5dW"/>
            <w:r w:rsidR="00EA0613" w:rsidRPr="1AD6D21D">
              <w:t>their</w:t>
            </w:r>
            <w:bookmarkEnd w:id="8"/>
          </w:p>
          <w:p w14:paraId="52889449" w14:textId="0AC5E8D4" w:rsidR="00EA0613" w:rsidRDefault="00EA0613" w:rsidP="1AD6D21D">
            <w:pPr>
              <w:spacing w:line="240" w:lineRule="auto"/>
            </w:pPr>
            <w:r w:rsidRPr="1AD6D21D">
              <w:t xml:space="preserve">individual needs and circumstances. To ensure that equality is fully considered, individual decisions will be further assessed as proposals develop and go through the </w:t>
            </w:r>
            <w:r w:rsidR="4B0B1C66" w:rsidRPr="1AD6D21D">
              <w:t>decision-making</w:t>
            </w:r>
            <w:r w:rsidRPr="1AD6D21D">
              <w:t xml:space="preserve"> cycle independently. In addition, where relevant existing council policies will continue to be followed to ensure that service delivery is equitable.</w:t>
            </w:r>
          </w:p>
          <w:p w14:paraId="6DF17DFB" w14:textId="77777777" w:rsidR="00EA0613" w:rsidRPr="001B3442" w:rsidRDefault="00EA0613" w:rsidP="00EA0613">
            <w:pPr>
              <w:spacing w:line="240" w:lineRule="auto"/>
              <w:rPr>
                <w:rFonts w:cstheme="minorHAnsi"/>
                <w:szCs w:val="24"/>
              </w:rPr>
            </w:pPr>
          </w:p>
        </w:tc>
        <w:tc>
          <w:tcPr>
            <w:tcW w:w="1824" w:type="dxa"/>
            <w:tcBorders>
              <w:top w:val="single" w:sz="4" w:space="0" w:color="auto"/>
              <w:left w:val="single" w:sz="4" w:space="0" w:color="auto"/>
              <w:bottom w:val="single" w:sz="4" w:space="0" w:color="auto"/>
              <w:right w:val="single" w:sz="4" w:space="0" w:color="auto"/>
            </w:tcBorders>
          </w:tcPr>
          <w:p w14:paraId="7EDEAEE1" w14:textId="77777777" w:rsidR="00EA0613" w:rsidRDefault="00EA0613" w:rsidP="00EA0613">
            <w:pPr>
              <w:spacing w:line="240" w:lineRule="auto"/>
              <w:rPr>
                <w:rFonts w:cstheme="minorHAnsi"/>
                <w:szCs w:val="24"/>
              </w:rPr>
            </w:pPr>
            <w:r w:rsidRPr="00EA0613">
              <w:rPr>
                <w:rFonts w:cstheme="minorHAnsi"/>
                <w:szCs w:val="24"/>
              </w:rPr>
              <w:t>Director of Adult and Community Services and Director of Children’s Services to assess the impact of budget savings</w:t>
            </w:r>
            <w:r>
              <w:rPr>
                <w:rFonts w:cstheme="minorHAnsi"/>
                <w:szCs w:val="24"/>
              </w:rPr>
              <w:t xml:space="preserve"> w</w:t>
            </w:r>
            <w:r w:rsidRPr="00EA0613">
              <w:rPr>
                <w:rFonts w:cstheme="minorHAnsi"/>
                <w:szCs w:val="24"/>
              </w:rPr>
              <w:t>ithin their departments.</w:t>
            </w:r>
          </w:p>
          <w:p w14:paraId="647AE7AA" w14:textId="77777777" w:rsidR="00EA0613" w:rsidRPr="005D119E" w:rsidRDefault="00EA0613" w:rsidP="00EA0613">
            <w:pPr>
              <w:spacing w:line="240" w:lineRule="auto"/>
              <w:rPr>
                <w:rFonts w:cstheme="minorHAnsi"/>
                <w:szCs w:val="24"/>
              </w:rPr>
            </w:pPr>
          </w:p>
        </w:tc>
      </w:tr>
      <w:tr w:rsidR="003C21AE" w:rsidRPr="001B3442" w14:paraId="3C06E1FE"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43DF04E" w14:textId="6BF6E673" w:rsidR="00EA0613" w:rsidRPr="001B3442" w:rsidRDefault="00EA0613" w:rsidP="00EA0613">
            <w:pPr>
              <w:spacing w:line="240" w:lineRule="auto"/>
              <w:rPr>
                <w:rFonts w:cstheme="minorHAnsi"/>
                <w:szCs w:val="24"/>
              </w:rPr>
            </w:pPr>
            <w:r w:rsidRPr="001B3442">
              <w:rPr>
                <w:rFonts w:cstheme="minorHAnsi"/>
                <w:szCs w:val="24"/>
              </w:rPr>
              <w:t>Sex</w:t>
            </w:r>
          </w:p>
        </w:tc>
        <w:tc>
          <w:tcPr>
            <w:tcW w:w="3460" w:type="dxa"/>
            <w:tcBorders>
              <w:top w:val="single" w:sz="4" w:space="0" w:color="auto"/>
              <w:left w:val="single" w:sz="4" w:space="0" w:color="auto"/>
              <w:bottom w:val="single" w:sz="4" w:space="0" w:color="auto"/>
              <w:right w:val="single" w:sz="4" w:space="0" w:color="auto"/>
            </w:tcBorders>
          </w:tcPr>
          <w:p w14:paraId="1617E282" w14:textId="77777777" w:rsidR="00EA0613" w:rsidRDefault="00EA0613" w:rsidP="1AD6D21D">
            <w:pPr>
              <w:spacing w:line="240" w:lineRule="auto"/>
            </w:pPr>
            <w:r w:rsidRPr="1AD6D21D">
              <w:t>51.3% of Torbay’s population are female and 48.7% are male.</w:t>
            </w:r>
          </w:p>
          <w:p w14:paraId="7064C23E" w14:textId="338BC371" w:rsidR="1AD6D21D" w:rsidRDefault="1AD6D21D" w:rsidP="1AD6D21D">
            <w:pPr>
              <w:spacing w:line="240" w:lineRule="auto"/>
            </w:pPr>
          </w:p>
          <w:p w14:paraId="559139FA" w14:textId="51D176BB" w:rsidR="00184677" w:rsidRDefault="00184677" w:rsidP="1AD6D21D">
            <w:pPr>
              <w:spacing w:line="240" w:lineRule="auto"/>
            </w:pPr>
            <w:r w:rsidRPr="1AD6D21D">
              <w:rPr>
                <w:rFonts w:ascii="Arial" w:eastAsia="Arial" w:hAnsi="Arial" w:cs="Arial"/>
                <w:szCs w:val="24"/>
              </w:rPr>
              <w:t>92.45% of lone parent households receiving Council Tax Support are women.</w:t>
            </w:r>
          </w:p>
          <w:p w14:paraId="44544F5E" w14:textId="11AE1768" w:rsidR="1AD6D21D" w:rsidRDefault="1AD6D21D" w:rsidP="1AD6D21D">
            <w:pPr>
              <w:spacing w:line="240" w:lineRule="auto"/>
              <w:rPr>
                <w:rFonts w:ascii="Arial" w:eastAsia="Arial" w:hAnsi="Arial" w:cs="Arial"/>
                <w:szCs w:val="24"/>
              </w:rPr>
            </w:pPr>
          </w:p>
          <w:p w14:paraId="0A98D938" w14:textId="7A5E723D" w:rsidR="19ECA379" w:rsidRDefault="19ECA379" w:rsidP="1AD6D21D">
            <w:pPr>
              <w:spacing w:line="240" w:lineRule="auto"/>
              <w:rPr>
                <w:rFonts w:ascii="Arial" w:eastAsia="Arial" w:hAnsi="Arial" w:cs="Arial"/>
                <w:szCs w:val="24"/>
              </w:rPr>
            </w:pPr>
            <w:r w:rsidRPr="1AD6D21D">
              <w:rPr>
                <w:rFonts w:ascii="Arial" w:eastAsia="Arial" w:hAnsi="Arial" w:cs="Arial"/>
                <w:szCs w:val="24"/>
              </w:rPr>
              <w:t>There is a higher percentage of working age women claiming Council Tax Support 4,032 (62.6%) when compared to their representation in the Torbay population 71,493 (51.31%).</w:t>
            </w:r>
          </w:p>
          <w:p w14:paraId="22875177" w14:textId="69E0C6CC" w:rsidR="19ECA379" w:rsidRDefault="19ECA379" w:rsidP="1AD6D21D">
            <w:pPr>
              <w:spacing w:line="240" w:lineRule="auto"/>
            </w:pPr>
            <w:r w:rsidRPr="1AD6D21D">
              <w:rPr>
                <w:rFonts w:ascii="Arial" w:eastAsia="Arial" w:hAnsi="Arial" w:cs="Arial"/>
                <w:szCs w:val="24"/>
              </w:rPr>
              <w:t xml:space="preserve"> </w:t>
            </w:r>
          </w:p>
          <w:p w14:paraId="03F120F3" w14:textId="60C204D7" w:rsidR="19ECA379" w:rsidRDefault="19ECA379" w:rsidP="1AD6D21D">
            <w:pPr>
              <w:spacing w:line="240" w:lineRule="auto"/>
            </w:pPr>
            <w:r w:rsidRPr="1AD6D21D">
              <w:rPr>
                <w:rFonts w:ascii="Arial" w:eastAsia="Arial" w:hAnsi="Arial" w:cs="Arial"/>
                <w:szCs w:val="24"/>
              </w:rPr>
              <w:t>Furthermore, 1,631 (92.4%) of working age lone parents are women compared to 133 men (7.6%).</w:t>
            </w:r>
          </w:p>
          <w:p w14:paraId="6CEEB8DC" w14:textId="0B6E7C48" w:rsidR="1AD6D21D" w:rsidRDefault="1AD6D21D" w:rsidP="1AD6D21D">
            <w:pPr>
              <w:spacing w:line="240" w:lineRule="auto"/>
              <w:rPr>
                <w:rFonts w:ascii="Arial" w:eastAsia="Arial" w:hAnsi="Arial" w:cs="Arial"/>
                <w:szCs w:val="24"/>
              </w:rPr>
            </w:pPr>
          </w:p>
          <w:p w14:paraId="56CB019A" w14:textId="77777777" w:rsidR="00EA0613" w:rsidRDefault="00EA0613" w:rsidP="00EA0613">
            <w:pPr>
              <w:spacing w:line="240" w:lineRule="auto"/>
              <w:rPr>
                <w:rFonts w:cstheme="minorHAnsi"/>
                <w:szCs w:val="24"/>
              </w:rPr>
            </w:pPr>
          </w:p>
          <w:p w14:paraId="7738AA4A" w14:textId="2300A0C5"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00431CAF" w14:textId="5A3E7E20" w:rsidR="00EA0613" w:rsidRPr="001B3442" w:rsidRDefault="3045C29D" w:rsidP="1AD6D21D">
            <w:pPr>
              <w:spacing w:line="240" w:lineRule="auto"/>
            </w:pPr>
            <w:r w:rsidRPr="1AD6D21D">
              <w:rPr>
                <w:b/>
                <w:bCs/>
              </w:rPr>
              <w:t>Financial Sustainability Plans</w:t>
            </w:r>
            <w:r w:rsidRPr="1AD6D21D">
              <w:t xml:space="preserve"> </w:t>
            </w:r>
          </w:p>
          <w:p w14:paraId="0CB60123" w14:textId="7AA0385F" w:rsidR="00EA0613" w:rsidRPr="001B3442" w:rsidRDefault="3045C29D" w:rsidP="1AD6D21D">
            <w:pPr>
              <w:spacing w:line="240" w:lineRule="auto"/>
            </w:pPr>
            <w:r w:rsidRPr="1AD6D21D">
              <w:t>Females may disproportionately impacted by reductions Children’s Services provisions if the ability to put in place appropriate and considered care and support is limited as they are more likely to live in lone parent households</w:t>
            </w:r>
            <w:r w:rsidR="7589DF83" w:rsidRPr="1AD6D21D">
              <w:t xml:space="preserve">. </w:t>
            </w:r>
            <w:r w:rsidRPr="1AD6D21D">
              <w:t xml:space="preserve"> They may also be disproportionately impacted by the Children's Social Care placements, </w:t>
            </w:r>
            <w:r>
              <w:t>Locality Model, and home to school transport budget decisions.</w:t>
            </w:r>
            <w:r w:rsidR="0BB81146">
              <w:t xml:space="preserve"> </w:t>
            </w:r>
          </w:p>
          <w:p w14:paraId="635346B5" w14:textId="07D847F0" w:rsidR="00EA0613" w:rsidRPr="001B3442" w:rsidRDefault="00EA0613" w:rsidP="1AD6D21D">
            <w:pPr>
              <w:spacing w:line="240" w:lineRule="auto"/>
            </w:pPr>
          </w:p>
          <w:p w14:paraId="423AC6B3" w14:textId="144E7C35" w:rsidR="00EA0613" w:rsidRPr="001B3442" w:rsidRDefault="2BF3D5F6" w:rsidP="1AD6D21D">
            <w:pPr>
              <w:spacing w:line="240" w:lineRule="auto"/>
            </w:pPr>
            <w:r w:rsidRPr="1AD6D21D">
              <w:rPr>
                <w:b/>
                <w:bCs/>
              </w:rPr>
              <w:t>Housing Needs</w:t>
            </w:r>
          </w:p>
          <w:p w14:paraId="12CA819C" w14:textId="5750481D" w:rsidR="00EA0613" w:rsidRPr="001B3442" w:rsidRDefault="2BF3D5F6" w:rsidP="1AD6D21D">
            <w:pPr>
              <w:spacing w:line="240" w:lineRule="auto"/>
            </w:pPr>
            <w:r>
              <w:t xml:space="preserve">The current </w:t>
            </w:r>
            <w:r w:rsidR="3BA467A8">
              <w:t xml:space="preserve">high </w:t>
            </w:r>
            <w:r>
              <w:t>cost</w:t>
            </w:r>
            <w:r w:rsidR="4E267C69">
              <w:t>s</w:t>
            </w:r>
            <w:r>
              <w:t xml:space="preserve"> of living and the increasing cost of accommodation is especially challenging for lone patent families who are more likely to be females</w:t>
            </w:r>
            <w:r w:rsidR="3152FC3F" w:rsidRPr="1AD6D21D">
              <w:t xml:space="preserve">. </w:t>
            </w:r>
          </w:p>
          <w:p w14:paraId="69C4A6FF" w14:textId="3236EB4D" w:rsidR="00EA0613" w:rsidRPr="001B3442" w:rsidRDefault="00EA0613" w:rsidP="1AD6D21D">
            <w:pPr>
              <w:spacing w:line="240" w:lineRule="auto"/>
              <w:rPr>
                <w:b/>
                <w:bCs/>
              </w:rPr>
            </w:pPr>
          </w:p>
          <w:p w14:paraId="6C4B0C78" w14:textId="3C529764" w:rsidR="00EA0613" w:rsidRPr="001B3442" w:rsidRDefault="00EA0613" w:rsidP="1AD6D21D">
            <w:pPr>
              <w:spacing w:line="240" w:lineRule="auto"/>
              <w:rPr>
                <w:b/>
                <w:bCs/>
              </w:rPr>
            </w:pPr>
          </w:p>
          <w:p w14:paraId="53E9BD70" w14:textId="089A092A" w:rsidR="00EA0613" w:rsidRPr="001B3442" w:rsidRDefault="00EA0613" w:rsidP="1AD6D21D">
            <w:pPr>
              <w:spacing w:line="240" w:lineRule="auto"/>
              <w:rPr>
                <w:b/>
                <w:bCs/>
              </w:rPr>
            </w:pPr>
            <w:r w:rsidRPr="1AD6D21D">
              <w:rPr>
                <w:b/>
                <w:bCs/>
              </w:rPr>
              <w:t>Council Tax and fees and charges</w:t>
            </w:r>
            <w:r>
              <w:t xml:space="preserve"> Females may be disproportionately impacted by increases to Council Tax and fees and charges due to the increased likelihood of lone parent households experiencing poverty.</w:t>
            </w:r>
          </w:p>
        </w:tc>
        <w:tc>
          <w:tcPr>
            <w:tcW w:w="2844" w:type="dxa"/>
            <w:tcBorders>
              <w:top w:val="single" w:sz="4" w:space="0" w:color="auto"/>
              <w:left w:val="single" w:sz="4" w:space="0" w:color="auto"/>
              <w:bottom w:val="single" w:sz="4" w:space="0" w:color="auto"/>
              <w:right w:val="single" w:sz="4" w:space="0" w:color="auto"/>
            </w:tcBorders>
          </w:tcPr>
          <w:p w14:paraId="6B285BD0" w14:textId="7D0593D7" w:rsidR="4E5651BB" w:rsidRDefault="4E5651BB" w:rsidP="1AD6D21D">
            <w:pPr>
              <w:spacing w:line="240" w:lineRule="auto"/>
            </w:pPr>
            <w:r w:rsidRPr="1AD6D21D">
              <w:rPr>
                <w:b/>
                <w:bCs/>
              </w:rPr>
              <w:t>Financial Sustainability Plans</w:t>
            </w:r>
            <w:r w:rsidRPr="1AD6D21D">
              <w:t xml:space="preserve"> Services will continue to take a case-by-case approach and person/ child centred approach in their delivery of services to ensure that individuals receive support tailored to their individual needs and circumstances. To ensure that equality is fully considered, individual decisions will be further assessed as proposals develop and go through the decision-making cycle independently. In addition, where relevant existing council policies will continue to be followed to ensure that service delivery is equitable.</w:t>
            </w:r>
          </w:p>
          <w:p w14:paraId="0945DBEB" w14:textId="534689D4" w:rsidR="1AD6D21D" w:rsidRDefault="1AD6D21D" w:rsidP="1AD6D21D">
            <w:pPr>
              <w:spacing w:line="240" w:lineRule="auto"/>
            </w:pPr>
          </w:p>
          <w:p w14:paraId="5AF184DA" w14:textId="23E1A802" w:rsidR="4E5651BB" w:rsidRDefault="4E5651BB" w:rsidP="1AD6D21D">
            <w:pPr>
              <w:spacing w:line="240" w:lineRule="auto"/>
              <w:rPr>
                <w:b/>
                <w:bCs/>
              </w:rPr>
            </w:pPr>
            <w:r w:rsidRPr="1AD6D21D">
              <w:rPr>
                <w:b/>
                <w:bCs/>
              </w:rPr>
              <w:t>Housing Needs</w:t>
            </w:r>
          </w:p>
          <w:p w14:paraId="39348BFC" w14:textId="1E3483EA" w:rsidR="4E5651BB" w:rsidRDefault="4E5651BB" w:rsidP="1AD6D21D">
            <w:pPr>
              <w:spacing w:line="240" w:lineRule="auto"/>
            </w:pPr>
            <w:r w:rsidRPr="1AD6D21D">
              <w:t>All individuals, and families, will continue to be assessed based on their identified needs. We will continue to monitor data to identify trends in those experiencing housing challenges.</w:t>
            </w:r>
          </w:p>
          <w:p w14:paraId="032052F9" w14:textId="529CDECC" w:rsidR="1AD6D21D" w:rsidRDefault="1AD6D21D" w:rsidP="1AD6D21D">
            <w:pPr>
              <w:spacing w:line="240" w:lineRule="auto"/>
              <w:rPr>
                <w:b/>
                <w:bCs/>
              </w:rPr>
            </w:pPr>
          </w:p>
          <w:p w14:paraId="24AA8316" w14:textId="77777777" w:rsidR="00EA0613" w:rsidRPr="00EA0613" w:rsidRDefault="00EA0613" w:rsidP="00EA0613">
            <w:pPr>
              <w:spacing w:line="240" w:lineRule="auto"/>
              <w:rPr>
                <w:rFonts w:cstheme="minorHAnsi"/>
                <w:b/>
                <w:bCs/>
                <w:szCs w:val="24"/>
              </w:rPr>
            </w:pPr>
            <w:r w:rsidRPr="00EA0613">
              <w:rPr>
                <w:rFonts w:cstheme="minorHAnsi"/>
                <w:b/>
                <w:bCs/>
                <w:szCs w:val="24"/>
              </w:rPr>
              <w:t>Council Tax and fees and charges</w:t>
            </w:r>
          </w:p>
          <w:p w14:paraId="49154289" w14:textId="33F72622" w:rsidR="00EA0613" w:rsidRPr="001B3442" w:rsidRDefault="00EA0613" w:rsidP="06B49936">
            <w:pPr>
              <w:spacing w:line="240" w:lineRule="auto"/>
            </w:pPr>
            <w:r w:rsidRPr="06B49936">
              <w:t>A Council Tax Support Scheme is in place which limited the amount that eligible applicants are required to pay to 75%. The Exceptional Hardship fund is also available to provide financial support to eligible applicants facing exceptional financial hardship.</w:t>
            </w:r>
          </w:p>
        </w:tc>
        <w:tc>
          <w:tcPr>
            <w:tcW w:w="1824" w:type="dxa"/>
            <w:tcBorders>
              <w:top w:val="single" w:sz="4" w:space="0" w:color="auto"/>
              <w:left w:val="single" w:sz="4" w:space="0" w:color="auto"/>
              <w:bottom w:val="single" w:sz="4" w:space="0" w:color="auto"/>
              <w:right w:val="single" w:sz="4" w:space="0" w:color="auto"/>
            </w:tcBorders>
          </w:tcPr>
          <w:p w14:paraId="4F835D54" w14:textId="761ACF55" w:rsidR="00EA0613" w:rsidRPr="005D119E" w:rsidRDefault="00916D52" w:rsidP="1AD6D21D">
            <w:pPr>
              <w:spacing w:line="240" w:lineRule="auto"/>
            </w:pPr>
            <w:r>
              <w:t xml:space="preserve">Director of </w:t>
            </w:r>
            <w:r w:rsidR="00EA0613">
              <w:t xml:space="preserve">Financial Services </w:t>
            </w:r>
            <w:r>
              <w:t>to c</w:t>
            </w:r>
            <w:r w:rsidR="00EA0613">
              <w:t>ontinue to raise awareness of the Council Tax Support Scheme and to ensure that equality is considered.</w:t>
            </w:r>
          </w:p>
          <w:p w14:paraId="6B96BDAC" w14:textId="61CB97E1" w:rsidR="00EA0613" w:rsidRPr="005D119E" w:rsidRDefault="00EA0613" w:rsidP="1AD6D21D">
            <w:pPr>
              <w:spacing w:line="240" w:lineRule="auto"/>
            </w:pPr>
          </w:p>
          <w:p w14:paraId="6188A373" w14:textId="52601BE3" w:rsidR="00EA0613" w:rsidRPr="005D119E" w:rsidRDefault="153B7EE5" w:rsidP="1AD6D21D">
            <w:pPr>
              <w:spacing w:line="240" w:lineRule="auto"/>
            </w:pPr>
            <w:r w:rsidRPr="1AD6D21D">
              <w:t>Director of Adult and Community Services and Director of Children’s Services to assess the impact of budget savings within their departments</w:t>
            </w:r>
          </w:p>
          <w:p w14:paraId="4FA65B3C" w14:textId="0BFF2B59" w:rsidR="00EA0613" w:rsidRPr="005D119E" w:rsidRDefault="00EA0613" w:rsidP="1AD6D21D">
            <w:pPr>
              <w:spacing w:line="240" w:lineRule="auto"/>
            </w:pPr>
          </w:p>
        </w:tc>
      </w:tr>
      <w:tr w:rsidR="003C21AE" w:rsidRPr="001B3442" w14:paraId="0ED8C4CB"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F1894E7" w14:textId="3394A03F" w:rsidR="00EA0613" w:rsidRPr="001B3442" w:rsidRDefault="00EA0613" w:rsidP="00EA0613">
            <w:pPr>
              <w:spacing w:line="240" w:lineRule="auto"/>
              <w:rPr>
                <w:rFonts w:cstheme="minorHAnsi"/>
                <w:szCs w:val="24"/>
              </w:rPr>
            </w:pPr>
            <w:r w:rsidRPr="001B3442">
              <w:rPr>
                <w:rFonts w:cstheme="minorHAnsi"/>
                <w:szCs w:val="24"/>
              </w:rPr>
              <w:t xml:space="preserve">Sexual orientation </w:t>
            </w:r>
          </w:p>
        </w:tc>
        <w:tc>
          <w:tcPr>
            <w:tcW w:w="3460" w:type="dxa"/>
            <w:tcBorders>
              <w:top w:val="single" w:sz="4" w:space="0" w:color="auto"/>
              <w:left w:val="single" w:sz="4" w:space="0" w:color="auto"/>
              <w:bottom w:val="single" w:sz="4" w:space="0" w:color="auto"/>
              <w:right w:val="single" w:sz="4" w:space="0" w:color="auto"/>
            </w:tcBorders>
          </w:tcPr>
          <w:p w14:paraId="74D18512" w14:textId="77777777" w:rsidR="00EA0613" w:rsidRDefault="00EA0613" w:rsidP="06B49936">
            <w:pPr>
              <w:spacing w:line="240" w:lineRule="auto"/>
            </w:pPr>
            <w:r w:rsidRPr="06B49936">
              <w:t>In the 2021 Census, 3.4% of those in Torbay aged over 16 identified their sexuality as either Lesbian, Gay, Bisexual or, used another term to describe their sexual orientation.</w:t>
            </w:r>
          </w:p>
          <w:p w14:paraId="67DB97AE" w14:textId="77777777" w:rsidR="00EA0613" w:rsidRDefault="00EA0613" w:rsidP="00EA0613">
            <w:pPr>
              <w:spacing w:line="240" w:lineRule="auto"/>
              <w:rPr>
                <w:rFonts w:cstheme="minorHAnsi"/>
                <w:szCs w:val="24"/>
              </w:rPr>
            </w:pPr>
          </w:p>
          <w:p w14:paraId="1D1554A3" w14:textId="6ED0A6A9"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63BFC12D" w14:textId="5601E277" w:rsidR="00EA0613" w:rsidRPr="00EA0613" w:rsidRDefault="0066259F" w:rsidP="00EA0613">
            <w:pPr>
              <w:spacing w:line="240" w:lineRule="auto"/>
              <w:rPr>
                <w:rFonts w:cstheme="minorHAnsi"/>
                <w:b/>
                <w:bCs/>
                <w:szCs w:val="24"/>
              </w:rPr>
            </w:pPr>
            <w:r>
              <w:rPr>
                <w:rFonts w:cstheme="minorHAnsi"/>
                <w:b/>
                <w:bCs/>
                <w:szCs w:val="24"/>
              </w:rPr>
              <w:t>Financial Sustainability Plans</w:t>
            </w:r>
            <w:r w:rsidR="00EA0613" w:rsidRPr="00EA0613">
              <w:rPr>
                <w:rFonts w:cstheme="minorHAnsi"/>
                <w:b/>
                <w:bCs/>
                <w:szCs w:val="24"/>
              </w:rPr>
              <w:t xml:space="preserve"> </w:t>
            </w:r>
          </w:p>
          <w:p w14:paraId="565CA849" w14:textId="19A082F9" w:rsidR="00EA0613" w:rsidRPr="001B3442" w:rsidRDefault="00A24335" w:rsidP="06B49936">
            <w:pPr>
              <w:spacing w:line="240" w:lineRule="auto"/>
            </w:pPr>
            <w:r w:rsidRPr="06B49936">
              <w:t xml:space="preserve">The joint transformation plan for adult social care and </w:t>
            </w:r>
            <w:r w:rsidR="0066259F" w:rsidRPr="06B49936">
              <w:t>Financial Sustainability Plans</w:t>
            </w:r>
            <w:r w:rsidR="00EA0613" w:rsidRPr="06B49936">
              <w:t xml:space="preserve"> in Children’s Services may impact people from LGBT+ communities if the ability to put in place appropriate and considered care and support is limited. Due to the limited data collected locally, it is not possible to fully understand the possible impacts on this group of service users.</w:t>
            </w:r>
          </w:p>
        </w:tc>
        <w:tc>
          <w:tcPr>
            <w:tcW w:w="2844" w:type="dxa"/>
            <w:tcBorders>
              <w:top w:val="single" w:sz="4" w:space="0" w:color="auto"/>
              <w:left w:val="single" w:sz="4" w:space="0" w:color="auto"/>
              <w:bottom w:val="single" w:sz="4" w:space="0" w:color="auto"/>
              <w:right w:val="single" w:sz="4" w:space="0" w:color="auto"/>
            </w:tcBorders>
          </w:tcPr>
          <w:p w14:paraId="3BB0E5C4" w14:textId="41835DF9" w:rsidR="00EA0613" w:rsidRPr="001B3442" w:rsidRDefault="0066259F" w:rsidP="06B49936">
            <w:pPr>
              <w:spacing w:line="240" w:lineRule="auto"/>
            </w:pPr>
            <w:r w:rsidRPr="1AD6D21D">
              <w:rPr>
                <w:b/>
                <w:bCs/>
              </w:rPr>
              <w:t>Financial Sustainability Plans</w:t>
            </w:r>
            <w:r w:rsidR="00EA0613">
              <w:t xml:space="preserve"> Services will continue to take a case-by-case approach and person/ child centred approach in their delivery of services to ensure that individuals receive support tailored to their individual needs and circumstances. To ensure that equality is fully considered, individual decisions will be further assessed as proposals develop and go through the </w:t>
            </w:r>
            <w:r w:rsidR="3B4FF2A9">
              <w:t>decision-making</w:t>
            </w:r>
            <w:r w:rsidR="00EA0613">
              <w:t xml:space="preserve"> cycle independently. In addition, where relevant existing council policies will continue to be followed to ensure that service delivery is equitable.</w:t>
            </w:r>
          </w:p>
        </w:tc>
        <w:tc>
          <w:tcPr>
            <w:tcW w:w="1824" w:type="dxa"/>
            <w:tcBorders>
              <w:top w:val="single" w:sz="4" w:space="0" w:color="auto"/>
              <w:left w:val="single" w:sz="4" w:space="0" w:color="auto"/>
              <w:bottom w:val="single" w:sz="4" w:space="0" w:color="auto"/>
              <w:right w:val="single" w:sz="4" w:space="0" w:color="auto"/>
            </w:tcBorders>
          </w:tcPr>
          <w:p w14:paraId="0C6B639A" w14:textId="52601BE3" w:rsidR="00EA0613" w:rsidRPr="003122D1" w:rsidRDefault="00EA0613" w:rsidP="00EA0613">
            <w:pPr>
              <w:spacing w:line="240" w:lineRule="auto"/>
              <w:rPr>
                <w:rFonts w:cstheme="minorHAnsi"/>
                <w:szCs w:val="24"/>
              </w:rPr>
            </w:pPr>
            <w:r w:rsidRPr="00EA0613">
              <w:rPr>
                <w:rFonts w:cstheme="minorHAnsi"/>
                <w:szCs w:val="24"/>
              </w:rPr>
              <w:t>Director of Adult and Community Services and Director of Children’s Services to assess the impact of budget savings within their departments</w:t>
            </w:r>
          </w:p>
        </w:tc>
      </w:tr>
      <w:tr w:rsidR="003C21AE" w:rsidRPr="001B3442" w14:paraId="0369F32A"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025BEA" w14:textId="5B6030CF" w:rsidR="00EA0613" w:rsidRPr="001B3442" w:rsidDel="00225130" w:rsidRDefault="00EA0613" w:rsidP="00EA0613">
            <w:pPr>
              <w:spacing w:line="240" w:lineRule="auto"/>
              <w:rPr>
                <w:rFonts w:cstheme="minorHAnsi"/>
                <w:szCs w:val="24"/>
              </w:rPr>
            </w:pPr>
            <w:r>
              <w:rPr>
                <w:rFonts w:cstheme="minorHAnsi"/>
                <w:szCs w:val="24"/>
              </w:rPr>
              <w:t>Armed Forces Community</w:t>
            </w:r>
          </w:p>
        </w:tc>
        <w:tc>
          <w:tcPr>
            <w:tcW w:w="3460" w:type="dxa"/>
            <w:tcBorders>
              <w:top w:val="single" w:sz="4" w:space="0" w:color="auto"/>
              <w:left w:val="single" w:sz="4" w:space="0" w:color="auto"/>
              <w:bottom w:val="single" w:sz="4" w:space="0" w:color="auto"/>
              <w:right w:val="single" w:sz="4" w:space="0" w:color="auto"/>
            </w:tcBorders>
          </w:tcPr>
          <w:p w14:paraId="4E8CF460" w14:textId="1CA2B835" w:rsidR="00EA0613" w:rsidRDefault="00EA0613" w:rsidP="00EA0613">
            <w:pPr>
              <w:spacing w:line="240" w:lineRule="auto"/>
              <w:rPr>
                <w:rFonts w:cstheme="minorHAnsi"/>
                <w:szCs w:val="24"/>
              </w:rPr>
            </w:pPr>
            <w:r w:rsidRPr="00202C7D">
              <w:rPr>
                <w:rFonts w:cstheme="minorHAnsi"/>
                <w:szCs w:val="24"/>
              </w:rPr>
              <w:t xml:space="preserve">In 2021, </w:t>
            </w:r>
            <w:r w:rsidRPr="001B3442">
              <w:rPr>
                <w:rFonts w:cstheme="minorHAnsi"/>
                <w:szCs w:val="24"/>
              </w:rPr>
              <w:t>3.8% of residents in</w:t>
            </w:r>
            <w:r w:rsidRPr="005559BE">
              <w:rPr>
                <w:rFonts w:cstheme="minorHAnsi"/>
                <w:szCs w:val="24"/>
              </w:rPr>
              <w:t xml:space="preserve"> England reported that they had previously served in the UK armed forces</w:t>
            </w:r>
            <w:r w:rsidRPr="001B3442">
              <w:rPr>
                <w:rFonts w:cstheme="minorHAnsi"/>
                <w:szCs w:val="24"/>
              </w:rPr>
              <w:t xml:space="preserve">. In Torbay, 5.9 per cent of the population have previously served in the UK armed forces. </w:t>
            </w:r>
          </w:p>
          <w:p w14:paraId="70166F6A" w14:textId="77777777" w:rsidR="00EA0613" w:rsidRDefault="00EA0613" w:rsidP="00EA0613">
            <w:pPr>
              <w:spacing w:line="240" w:lineRule="auto"/>
              <w:rPr>
                <w:rFonts w:cstheme="minorHAnsi"/>
                <w:szCs w:val="24"/>
              </w:rPr>
            </w:pPr>
          </w:p>
          <w:p w14:paraId="4ACCBB3C" w14:textId="4463D1EF" w:rsidR="00EA0613" w:rsidRPr="001B3442" w:rsidRDefault="00EA0613" w:rsidP="1AD6D21D">
            <w:pPr>
              <w:spacing w:line="240" w:lineRule="auto"/>
            </w:pPr>
          </w:p>
        </w:tc>
        <w:tc>
          <w:tcPr>
            <w:tcW w:w="4629" w:type="dxa"/>
            <w:tcBorders>
              <w:top w:val="single" w:sz="4" w:space="0" w:color="auto"/>
              <w:left w:val="single" w:sz="4" w:space="0" w:color="auto"/>
              <w:bottom w:val="single" w:sz="4" w:space="0" w:color="auto"/>
              <w:right w:val="single" w:sz="4" w:space="0" w:color="auto"/>
            </w:tcBorders>
          </w:tcPr>
          <w:p w14:paraId="2B37C60A" w14:textId="6C3DE24A" w:rsidR="00EA0613" w:rsidRPr="001B3442" w:rsidRDefault="00EA0613" w:rsidP="00EA0613">
            <w:pPr>
              <w:spacing w:line="240" w:lineRule="auto"/>
              <w:rPr>
                <w:rFonts w:cstheme="minorHAnsi"/>
                <w:szCs w:val="24"/>
              </w:rPr>
            </w:pPr>
            <w:r>
              <w:rPr>
                <w:rFonts w:cstheme="minorHAnsi"/>
                <w:szCs w:val="24"/>
              </w:rPr>
              <w:t xml:space="preserve">No adverse impacts anticipated </w:t>
            </w:r>
          </w:p>
        </w:tc>
        <w:tc>
          <w:tcPr>
            <w:tcW w:w="2844" w:type="dxa"/>
            <w:tcBorders>
              <w:top w:val="single" w:sz="4" w:space="0" w:color="auto"/>
              <w:left w:val="single" w:sz="4" w:space="0" w:color="auto"/>
              <w:bottom w:val="single" w:sz="4" w:space="0" w:color="auto"/>
              <w:right w:val="single" w:sz="4" w:space="0" w:color="auto"/>
            </w:tcBorders>
          </w:tcPr>
          <w:p w14:paraId="15B52DED" w14:textId="4870744F" w:rsidR="00EA0613" w:rsidRPr="001B3442" w:rsidRDefault="00EA0613" w:rsidP="00EA0613">
            <w:pPr>
              <w:spacing w:line="240" w:lineRule="auto"/>
              <w:rPr>
                <w:rFonts w:cstheme="minorHAnsi"/>
                <w:szCs w:val="24"/>
              </w:rPr>
            </w:pPr>
            <w:r>
              <w:rPr>
                <w:rFonts w:cstheme="minorHAnsi"/>
                <w:szCs w:val="24"/>
              </w:rPr>
              <w:t xml:space="preserve">Not applicable </w:t>
            </w:r>
          </w:p>
        </w:tc>
        <w:tc>
          <w:tcPr>
            <w:tcW w:w="1824" w:type="dxa"/>
            <w:tcBorders>
              <w:top w:val="single" w:sz="4" w:space="0" w:color="auto"/>
              <w:left w:val="single" w:sz="4" w:space="0" w:color="auto"/>
              <w:bottom w:val="single" w:sz="4" w:space="0" w:color="auto"/>
              <w:right w:val="single" w:sz="4" w:space="0" w:color="auto"/>
            </w:tcBorders>
          </w:tcPr>
          <w:p w14:paraId="62AF8ABA" w14:textId="102545DD" w:rsidR="00EA0613" w:rsidRPr="003122D1" w:rsidRDefault="00EA0613" w:rsidP="00EA0613">
            <w:pPr>
              <w:spacing w:line="240" w:lineRule="auto"/>
              <w:rPr>
                <w:rFonts w:cstheme="minorHAnsi"/>
                <w:szCs w:val="24"/>
              </w:rPr>
            </w:pPr>
            <w:r>
              <w:rPr>
                <w:rFonts w:cstheme="minorHAnsi"/>
                <w:szCs w:val="24"/>
              </w:rPr>
              <w:t>Not applicable</w:t>
            </w:r>
          </w:p>
        </w:tc>
      </w:tr>
      <w:tr w:rsidR="00EA0613" w:rsidRPr="001B3442" w14:paraId="73B2DCED" w14:textId="77777777" w:rsidTr="30973584">
        <w:tc>
          <w:tcPr>
            <w:tcW w:w="13564"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253D3" w14:textId="77777777" w:rsidR="00EA0613" w:rsidRPr="003122D1" w:rsidRDefault="00EA0613" w:rsidP="06B49936">
            <w:pPr>
              <w:spacing w:line="240" w:lineRule="auto"/>
              <w:rPr>
                <w:b/>
                <w:bCs/>
              </w:rPr>
            </w:pPr>
            <w:r w:rsidRPr="06B49936">
              <w:rPr>
                <w:b/>
                <w:bCs/>
              </w:rPr>
              <w:t>Additional considerations</w:t>
            </w:r>
          </w:p>
        </w:tc>
        <w:tc>
          <w:tcPr>
            <w:tcW w:w="18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7676A7" w14:textId="77777777" w:rsidR="00EA0613" w:rsidRPr="003122D1" w:rsidRDefault="00EA0613" w:rsidP="00EA0613">
            <w:pPr>
              <w:spacing w:line="240" w:lineRule="auto"/>
              <w:rPr>
                <w:rFonts w:cstheme="minorHAnsi"/>
                <w:b/>
                <w:szCs w:val="24"/>
              </w:rPr>
            </w:pPr>
          </w:p>
        </w:tc>
      </w:tr>
      <w:tr w:rsidR="003C21AE" w:rsidRPr="001B3442" w14:paraId="468B1BED"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D25E78" w14:textId="0D0F1A88" w:rsidR="00EA0613" w:rsidRPr="001B3442" w:rsidRDefault="00EA0613" w:rsidP="00EA0613">
            <w:pPr>
              <w:spacing w:line="240" w:lineRule="auto"/>
              <w:rPr>
                <w:rFonts w:cstheme="minorHAnsi"/>
                <w:szCs w:val="24"/>
              </w:rPr>
            </w:pPr>
            <w:r w:rsidRPr="001B3442">
              <w:rPr>
                <w:rFonts w:cstheme="minorHAnsi"/>
                <w:szCs w:val="24"/>
              </w:rPr>
              <w:t>Socio-economic impacts (Including impacts on child poverty and deprivation)</w:t>
            </w:r>
          </w:p>
        </w:tc>
        <w:tc>
          <w:tcPr>
            <w:tcW w:w="3460" w:type="dxa"/>
            <w:tcBorders>
              <w:top w:val="single" w:sz="4" w:space="0" w:color="auto"/>
              <w:left w:val="single" w:sz="4" w:space="0" w:color="auto"/>
              <w:bottom w:val="single" w:sz="4" w:space="0" w:color="auto"/>
              <w:right w:val="single" w:sz="4" w:space="0" w:color="auto"/>
            </w:tcBorders>
          </w:tcPr>
          <w:p w14:paraId="347EEA80" w14:textId="77777777" w:rsidR="00EA0613" w:rsidRPr="001B3442" w:rsidRDefault="00EA0613" w:rsidP="00EA0613">
            <w:pPr>
              <w:spacing w:line="240" w:lineRule="auto"/>
              <w:rPr>
                <w:rFonts w:cstheme="minorHAnsi"/>
                <w:szCs w:val="24"/>
              </w:rPr>
            </w:pPr>
          </w:p>
        </w:tc>
        <w:tc>
          <w:tcPr>
            <w:tcW w:w="4629" w:type="dxa"/>
            <w:tcBorders>
              <w:top w:val="single" w:sz="4" w:space="0" w:color="auto"/>
              <w:left w:val="single" w:sz="4" w:space="0" w:color="auto"/>
              <w:bottom w:val="single" w:sz="4" w:space="0" w:color="auto"/>
              <w:right w:val="single" w:sz="4" w:space="0" w:color="auto"/>
            </w:tcBorders>
          </w:tcPr>
          <w:p w14:paraId="03F7003A" w14:textId="2CA1BACD" w:rsidR="00EA0613" w:rsidRPr="001B3442" w:rsidRDefault="006126ED" w:rsidP="00EA0613">
            <w:pPr>
              <w:spacing w:line="240" w:lineRule="auto"/>
              <w:rPr>
                <w:rFonts w:cstheme="minorHAnsi"/>
                <w:szCs w:val="24"/>
              </w:rPr>
            </w:pPr>
            <w:r>
              <w:rPr>
                <w:rFonts w:cstheme="minorHAnsi"/>
                <w:szCs w:val="24"/>
              </w:rPr>
              <w:t>While i</w:t>
            </w:r>
            <w:r w:rsidRPr="006126ED">
              <w:rPr>
                <w:rFonts w:cstheme="minorHAnsi"/>
                <w:szCs w:val="24"/>
              </w:rPr>
              <w:t>nflation has reduced significantly from the highs of 2022, with a figure of 1.7%</w:t>
            </w:r>
            <w:r>
              <w:rPr>
                <w:rFonts w:cstheme="minorHAnsi"/>
                <w:szCs w:val="24"/>
              </w:rPr>
              <w:t xml:space="preserve"> </w:t>
            </w:r>
            <w:r w:rsidRPr="006126ED">
              <w:rPr>
                <w:rFonts w:cstheme="minorHAnsi"/>
                <w:szCs w:val="24"/>
              </w:rPr>
              <w:t>reported</w:t>
            </w:r>
            <w:r>
              <w:rPr>
                <w:rFonts w:cstheme="minorHAnsi"/>
                <w:szCs w:val="24"/>
              </w:rPr>
              <w:t xml:space="preserve"> by the CPI</w:t>
            </w:r>
            <w:r w:rsidRPr="006126ED">
              <w:rPr>
                <w:rFonts w:cstheme="minorHAnsi"/>
                <w:szCs w:val="24"/>
              </w:rPr>
              <w:t xml:space="preserve"> in Sept 2024. Residents</w:t>
            </w:r>
            <w:r>
              <w:rPr>
                <w:rFonts w:cstheme="minorHAnsi"/>
                <w:szCs w:val="24"/>
              </w:rPr>
              <w:t xml:space="preserve"> are continuing to struggle</w:t>
            </w:r>
            <w:r w:rsidRPr="006126ED">
              <w:rPr>
                <w:rFonts w:cstheme="minorHAnsi"/>
                <w:szCs w:val="24"/>
              </w:rPr>
              <w:t xml:space="preserve"> with the cost of living</w:t>
            </w:r>
            <w:r>
              <w:rPr>
                <w:rFonts w:cstheme="minorHAnsi"/>
                <w:szCs w:val="24"/>
              </w:rPr>
              <w:t xml:space="preserve">. This </w:t>
            </w:r>
            <w:r w:rsidRPr="006126ED">
              <w:rPr>
                <w:rFonts w:cstheme="minorHAnsi"/>
                <w:szCs w:val="24"/>
              </w:rPr>
              <w:t>continues to have a consequential effect on the demand for council support services</w:t>
            </w:r>
            <w:r>
              <w:rPr>
                <w:rFonts w:cstheme="minorHAnsi"/>
                <w:szCs w:val="24"/>
              </w:rPr>
              <w:t>.</w:t>
            </w:r>
          </w:p>
        </w:tc>
        <w:tc>
          <w:tcPr>
            <w:tcW w:w="2844" w:type="dxa"/>
            <w:tcBorders>
              <w:top w:val="single" w:sz="4" w:space="0" w:color="auto"/>
              <w:left w:val="single" w:sz="4" w:space="0" w:color="auto"/>
              <w:bottom w:val="single" w:sz="4" w:space="0" w:color="auto"/>
              <w:right w:val="single" w:sz="4" w:space="0" w:color="auto"/>
            </w:tcBorders>
          </w:tcPr>
          <w:p w14:paraId="35D06EBD" w14:textId="77777777" w:rsidR="00EA0613" w:rsidRPr="001B3442" w:rsidRDefault="00EA0613" w:rsidP="00EA0613">
            <w:pPr>
              <w:spacing w:line="240" w:lineRule="auto"/>
              <w:rPr>
                <w:rFonts w:cstheme="minorHAnsi"/>
                <w:szCs w:val="24"/>
              </w:rPr>
            </w:pPr>
          </w:p>
        </w:tc>
        <w:tc>
          <w:tcPr>
            <w:tcW w:w="1824" w:type="dxa"/>
            <w:tcBorders>
              <w:top w:val="single" w:sz="4" w:space="0" w:color="auto"/>
              <w:left w:val="single" w:sz="4" w:space="0" w:color="auto"/>
              <w:bottom w:val="single" w:sz="4" w:space="0" w:color="auto"/>
              <w:right w:val="single" w:sz="4" w:space="0" w:color="auto"/>
            </w:tcBorders>
          </w:tcPr>
          <w:p w14:paraId="18350EF2" w14:textId="77777777" w:rsidR="00EA0613" w:rsidRPr="003122D1" w:rsidRDefault="00EA0613" w:rsidP="00EA0613">
            <w:pPr>
              <w:spacing w:line="240" w:lineRule="auto"/>
              <w:rPr>
                <w:rFonts w:cstheme="minorHAnsi"/>
                <w:szCs w:val="24"/>
              </w:rPr>
            </w:pPr>
          </w:p>
        </w:tc>
      </w:tr>
      <w:tr w:rsidR="003C21AE" w:rsidRPr="001B3442" w14:paraId="74F634F9"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BB2DE9" w14:textId="79193A8E" w:rsidR="00EA0613" w:rsidRPr="001B3442" w:rsidRDefault="00EA0613" w:rsidP="00EA0613">
            <w:pPr>
              <w:spacing w:line="240" w:lineRule="auto"/>
              <w:rPr>
                <w:rFonts w:cstheme="minorHAnsi"/>
                <w:szCs w:val="24"/>
              </w:rPr>
            </w:pPr>
            <w:r w:rsidRPr="001B3442">
              <w:rPr>
                <w:rFonts w:cstheme="minorHAnsi"/>
                <w:szCs w:val="24"/>
              </w:rPr>
              <w:t>Public Health impacts (Including impacts on the general health of the population of Torbay)</w:t>
            </w:r>
          </w:p>
        </w:tc>
        <w:tc>
          <w:tcPr>
            <w:tcW w:w="3460" w:type="dxa"/>
            <w:tcBorders>
              <w:top w:val="single" w:sz="4" w:space="0" w:color="auto"/>
              <w:left w:val="single" w:sz="4" w:space="0" w:color="auto"/>
              <w:bottom w:val="single" w:sz="4" w:space="0" w:color="auto"/>
              <w:right w:val="single" w:sz="4" w:space="0" w:color="auto"/>
            </w:tcBorders>
          </w:tcPr>
          <w:p w14:paraId="64DD232D" w14:textId="77777777" w:rsidR="00EA0613" w:rsidRPr="001B3442" w:rsidRDefault="00EA0613" w:rsidP="00EA0613">
            <w:pPr>
              <w:spacing w:line="240" w:lineRule="auto"/>
              <w:rPr>
                <w:rFonts w:cstheme="minorHAnsi"/>
                <w:szCs w:val="24"/>
              </w:rPr>
            </w:pPr>
          </w:p>
        </w:tc>
        <w:tc>
          <w:tcPr>
            <w:tcW w:w="4629" w:type="dxa"/>
            <w:tcBorders>
              <w:top w:val="single" w:sz="4" w:space="0" w:color="auto"/>
              <w:left w:val="single" w:sz="4" w:space="0" w:color="auto"/>
              <w:bottom w:val="single" w:sz="4" w:space="0" w:color="auto"/>
              <w:right w:val="single" w:sz="4" w:space="0" w:color="auto"/>
            </w:tcBorders>
          </w:tcPr>
          <w:p w14:paraId="129B65E5" w14:textId="3B1B46BC" w:rsidR="00EA0613" w:rsidRPr="001B3442" w:rsidRDefault="009B29B7" w:rsidP="1AD6D21D">
            <w:pPr>
              <w:spacing w:line="240" w:lineRule="auto"/>
            </w:pPr>
            <w:r w:rsidRPr="1AD6D21D">
              <w:t>No adverse impacts are anticipated.</w:t>
            </w:r>
          </w:p>
        </w:tc>
        <w:tc>
          <w:tcPr>
            <w:tcW w:w="2844" w:type="dxa"/>
            <w:tcBorders>
              <w:top w:val="single" w:sz="4" w:space="0" w:color="auto"/>
              <w:left w:val="single" w:sz="4" w:space="0" w:color="auto"/>
              <w:bottom w:val="single" w:sz="4" w:space="0" w:color="auto"/>
              <w:right w:val="single" w:sz="4" w:space="0" w:color="auto"/>
            </w:tcBorders>
          </w:tcPr>
          <w:p w14:paraId="6EA0AEEC" w14:textId="76A35E9B" w:rsidR="00EA0613" w:rsidRPr="001B3442" w:rsidRDefault="009B29B7" w:rsidP="1AD6D21D">
            <w:pPr>
              <w:spacing w:line="240" w:lineRule="auto"/>
            </w:pPr>
            <w:r w:rsidRPr="1AD6D21D">
              <w:t>Not applicable</w:t>
            </w:r>
          </w:p>
        </w:tc>
        <w:tc>
          <w:tcPr>
            <w:tcW w:w="1824" w:type="dxa"/>
            <w:tcBorders>
              <w:top w:val="single" w:sz="4" w:space="0" w:color="auto"/>
              <w:left w:val="single" w:sz="4" w:space="0" w:color="auto"/>
              <w:bottom w:val="single" w:sz="4" w:space="0" w:color="auto"/>
              <w:right w:val="single" w:sz="4" w:space="0" w:color="auto"/>
            </w:tcBorders>
          </w:tcPr>
          <w:p w14:paraId="25637E6F" w14:textId="6B16D885" w:rsidR="00EA0613" w:rsidRPr="003122D1" w:rsidRDefault="009B29B7" w:rsidP="1AD6D21D">
            <w:pPr>
              <w:spacing w:line="240" w:lineRule="auto"/>
            </w:pPr>
            <w:r w:rsidRPr="1AD6D21D">
              <w:t xml:space="preserve">Not applicable </w:t>
            </w:r>
          </w:p>
        </w:tc>
      </w:tr>
      <w:tr w:rsidR="003333FA" w:rsidRPr="001B3442" w14:paraId="747131E6"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5B2DB1" w14:textId="77777777" w:rsidR="003333FA" w:rsidRPr="001B3442" w:rsidRDefault="003333FA" w:rsidP="003333FA">
            <w:pPr>
              <w:spacing w:line="240" w:lineRule="auto"/>
              <w:rPr>
                <w:rFonts w:cstheme="minorHAnsi"/>
                <w:szCs w:val="24"/>
              </w:rPr>
            </w:pPr>
            <w:r w:rsidRPr="001B3442">
              <w:rPr>
                <w:rFonts w:cstheme="minorHAnsi"/>
                <w:szCs w:val="24"/>
              </w:rPr>
              <w:t xml:space="preserve">Human Rights impacts </w:t>
            </w:r>
          </w:p>
        </w:tc>
        <w:tc>
          <w:tcPr>
            <w:tcW w:w="3460" w:type="dxa"/>
            <w:tcBorders>
              <w:top w:val="single" w:sz="4" w:space="0" w:color="auto"/>
              <w:left w:val="single" w:sz="4" w:space="0" w:color="auto"/>
              <w:bottom w:val="single" w:sz="4" w:space="0" w:color="auto"/>
              <w:right w:val="single" w:sz="4" w:space="0" w:color="auto"/>
            </w:tcBorders>
          </w:tcPr>
          <w:p w14:paraId="58F4B53E" w14:textId="77777777" w:rsidR="003333FA" w:rsidRPr="001B3442" w:rsidRDefault="003333FA" w:rsidP="003333FA">
            <w:pPr>
              <w:spacing w:line="240" w:lineRule="auto"/>
              <w:rPr>
                <w:rFonts w:cstheme="minorHAnsi"/>
                <w:szCs w:val="24"/>
              </w:rPr>
            </w:pPr>
          </w:p>
        </w:tc>
        <w:tc>
          <w:tcPr>
            <w:tcW w:w="4629" w:type="dxa"/>
            <w:tcBorders>
              <w:top w:val="single" w:sz="4" w:space="0" w:color="auto"/>
              <w:left w:val="single" w:sz="4" w:space="0" w:color="auto"/>
              <w:bottom w:val="single" w:sz="4" w:space="0" w:color="auto"/>
              <w:right w:val="single" w:sz="4" w:space="0" w:color="auto"/>
            </w:tcBorders>
          </w:tcPr>
          <w:p w14:paraId="3ED9F27A" w14:textId="236C9FD6" w:rsidR="003333FA" w:rsidRPr="001B3442" w:rsidRDefault="003333FA" w:rsidP="1AD6D21D">
            <w:pPr>
              <w:spacing w:line="240" w:lineRule="auto"/>
            </w:pPr>
            <w:r w:rsidRPr="1AD6D21D">
              <w:t xml:space="preserve">The Council remains committed to ensuring that human rights are protected. </w:t>
            </w:r>
          </w:p>
        </w:tc>
        <w:tc>
          <w:tcPr>
            <w:tcW w:w="2844" w:type="dxa"/>
            <w:tcBorders>
              <w:top w:val="single" w:sz="4" w:space="0" w:color="auto"/>
              <w:left w:val="single" w:sz="4" w:space="0" w:color="auto"/>
              <w:bottom w:val="single" w:sz="4" w:space="0" w:color="auto"/>
              <w:right w:val="single" w:sz="4" w:space="0" w:color="auto"/>
            </w:tcBorders>
          </w:tcPr>
          <w:p w14:paraId="4A37FBD3" w14:textId="1B86F437" w:rsidR="003333FA" w:rsidRPr="001B3442" w:rsidRDefault="003333FA" w:rsidP="1AD6D21D">
            <w:pPr>
              <w:spacing w:line="240" w:lineRule="auto"/>
            </w:pPr>
            <w:r w:rsidRPr="1AD6D21D">
              <w:t>Not applicable</w:t>
            </w:r>
          </w:p>
        </w:tc>
        <w:tc>
          <w:tcPr>
            <w:tcW w:w="1824" w:type="dxa"/>
            <w:tcBorders>
              <w:top w:val="single" w:sz="4" w:space="0" w:color="auto"/>
              <w:left w:val="single" w:sz="4" w:space="0" w:color="auto"/>
              <w:bottom w:val="single" w:sz="4" w:space="0" w:color="auto"/>
              <w:right w:val="single" w:sz="4" w:space="0" w:color="auto"/>
            </w:tcBorders>
          </w:tcPr>
          <w:p w14:paraId="60C4AEC2" w14:textId="2353B06F" w:rsidR="003333FA" w:rsidRPr="003122D1" w:rsidRDefault="003333FA" w:rsidP="1AD6D21D">
            <w:pPr>
              <w:spacing w:line="240" w:lineRule="auto"/>
            </w:pPr>
            <w:r w:rsidRPr="1AD6D21D">
              <w:t xml:space="preserve">Not applicable </w:t>
            </w:r>
          </w:p>
        </w:tc>
      </w:tr>
      <w:tr w:rsidR="003333FA" w:rsidRPr="001B3442" w14:paraId="64F40105" w14:textId="77777777" w:rsidTr="30973584">
        <w:tc>
          <w:tcPr>
            <w:tcW w:w="26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43433" w14:textId="76FA492D" w:rsidR="003333FA" w:rsidRPr="00730A10" w:rsidRDefault="003333FA" w:rsidP="003333FA">
            <w:pPr>
              <w:spacing w:line="240" w:lineRule="auto"/>
              <w:rPr>
                <w:rFonts w:cstheme="minorHAnsi"/>
                <w:szCs w:val="24"/>
              </w:rPr>
            </w:pPr>
            <w:r w:rsidRPr="00730A10">
              <w:rPr>
                <w:rFonts w:cstheme="minorHAnsi"/>
                <w:szCs w:val="24"/>
              </w:rPr>
              <w:t xml:space="preserve">Child Friendly </w:t>
            </w:r>
          </w:p>
        </w:tc>
        <w:tc>
          <w:tcPr>
            <w:tcW w:w="3460" w:type="dxa"/>
            <w:tcBorders>
              <w:top w:val="single" w:sz="4" w:space="0" w:color="auto"/>
              <w:left w:val="single" w:sz="4" w:space="0" w:color="auto"/>
              <w:bottom w:val="single" w:sz="4" w:space="0" w:color="auto"/>
              <w:right w:val="single" w:sz="4" w:space="0" w:color="auto"/>
            </w:tcBorders>
          </w:tcPr>
          <w:p w14:paraId="11A354E2" w14:textId="3CC51A33" w:rsidR="003333FA" w:rsidRPr="001B3442" w:rsidRDefault="003333FA" w:rsidP="003333FA">
            <w:pPr>
              <w:spacing w:line="240" w:lineRule="auto"/>
            </w:pPr>
            <w:r>
              <w:t xml:space="preserve">Torbay Council is a Child Friendly </w:t>
            </w:r>
            <w:r w:rsidR="015B10B8">
              <w:t>Council,</w:t>
            </w:r>
            <w:r>
              <w:t xml:space="preserve"> and all staff and Councillors are Corporate Parents and have a responsibility towards cared for and care experienced children and young people.</w:t>
            </w:r>
          </w:p>
        </w:tc>
        <w:tc>
          <w:tcPr>
            <w:tcW w:w="4629" w:type="dxa"/>
            <w:tcBorders>
              <w:top w:val="single" w:sz="4" w:space="0" w:color="auto"/>
              <w:left w:val="single" w:sz="4" w:space="0" w:color="auto"/>
              <w:bottom w:val="single" w:sz="4" w:space="0" w:color="auto"/>
              <w:right w:val="single" w:sz="4" w:space="0" w:color="auto"/>
            </w:tcBorders>
          </w:tcPr>
          <w:p w14:paraId="41FC1919" w14:textId="4FBC316B" w:rsidR="003333FA" w:rsidRPr="001B3442" w:rsidRDefault="003333FA" w:rsidP="1AD6D21D">
            <w:pPr>
              <w:spacing w:line="240" w:lineRule="auto"/>
            </w:pPr>
            <w:r w:rsidRPr="1AD6D21D">
              <w:t xml:space="preserve">Torbay has a higher proportion of young people with care experience when compared to the rest of the Southwest and England. The budget proposals </w:t>
            </w:r>
            <w:r w:rsidR="60343528" w:rsidRPr="1AD6D21D">
              <w:t>aim</w:t>
            </w:r>
            <w:r w:rsidRPr="1AD6D21D">
              <w:t xml:space="preserve"> to support care experienced individuals to meet their potential. </w:t>
            </w:r>
          </w:p>
        </w:tc>
        <w:tc>
          <w:tcPr>
            <w:tcW w:w="2844" w:type="dxa"/>
            <w:tcBorders>
              <w:top w:val="single" w:sz="4" w:space="0" w:color="auto"/>
              <w:left w:val="single" w:sz="4" w:space="0" w:color="auto"/>
              <w:bottom w:val="single" w:sz="4" w:space="0" w:color="auto"/>
              <w:right w:val="single" w:sz="4" w:space="0" w:color="auto"/>
            </w:tcBorders>
          </w:tcPr>
          <w:p w14:paraId="7F5BBA5B" w14:textId="15376DE3" w:rsidR="003333FA" w:rsidRPr="001B3442" w:rsidRDefault="003333FA" w:rsidP="003333FA">
            <w:pPr>
              <w:spacing w:line="240" w:lineRule="auto"/>
            </w:pPr>
            <w:r w:rsidRPr="1AD6D21D">
              <w:t>Not applicable</w:t>
            </w:r>
          </w:p>
        </w:tc>
        <w:tc>
          <w:tcPr>
            <w:tcW w:w="1824" w:type="dxa"/>
            <w:tcBorders>
              <w:top w:val="single" w:sz="4" w:space="0" w:color="auto"/>
              <w:left w:val="single" w:sz="4" w:space="0" w:color="auto"/>
              <w:bottom w:val="single" w:sz="4" w:space="0" w:color="auto"/>
              <w:right w:val="single" w:sz="4" w:space="0" w:color="auto"/>
            </w:tcBorders>
          </w:tcPr>
          <w:p w14:paraId="7D0932EF" w14:textId="0A7F62A1" w:rsidR="003333FA" w:rsidRPr="006A58B0" w:rsidRDefault="003333FA" w:rsidP="003333FA">
            <w:pPr>
              <w:spacing w:line="240" w:lineRule="auto"/>
            </w:pPr>
            <w:r w:rsidRPr="1AD6D21D">
              <w:t xml:space="preserve">Not applicable </w:t>
            </w:r>
          </w:p>
        </w:tc>
      </w:tr>
    </w:tbl>
    <w:p w14:paraId="7FD802F1" w14:textId="77777777" w:rsidR="001B3442" w:rsidRDefault="001B3442" w:rsidP="00CE70FC">
      <w:pPr>
        <w:pStyle w:val="Heading1"/>
        <w:rPr>
          <w:rFonts w:ascii="Arial" w:hAnsi="Arial" w:cs="Arial"/>
          <w:sz w:val="24"/>
          <w:szCs w:val="24"/>
        </w:rPr>
        <w:sectPr w:rsidR="001B3442" w:rsidSect="00BC1ABF">
          <w:headerReference w:type="first" r:id="rId11"/>
          <w:pgSz w:w="16838" w:h="11906" w:orient="landscape" w:code="9"/>
          <w:pgMar w:top="720" w:right="720" w:bottom="720" w:left="720" w:header="567" w:footer="284" w:gutter="0"/>
          <w:cols w:space="708"/>
          <w:titlePg/>
          <w:docGrid w:linePitch="360"/>
        </w:sectPr>
      </w:pPr>
    </w:p>
    <w:p w14:paraId="30059BF5" w14:textId="21EF3145" w:rsidR="00B0244B" w:rsidRPr="008C04D8" w:rsidRDefault="00B0244B" w:rsidP="00CE70FC">
      <w:pPr>
        <w:pStyle w:val="Indentedtextfornumberedlists"/>
        <w:spacing w:after="240"/>
      </w:pPr>
    </w:p>
    <w:sectPr w:rsidR="00B0244B" w:rsidRPr="008C04D8" w:rsidSect="00BC1ABF">
      <w:headerReference w:type="first" r:id="rId12"/>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E3C17A" w14:textId="77777777" w:rsidR="00EC5FB2" w:rsidRDefault="00EC5FB2" w:rsidP="008952DF">
      <w:r>
        <w:separator/>
      </w:r>
    </w:p>
    <w:p w14:paraId="4B824F32" w14:textId="77777777" w:rsidR="00EC5FB2" w:rsidRDefault="00EC5FB2"/>
  </w:endnote>
  <w:endnote w:type="continuationSeparator" w:id="0">
    <w:p w14:paraId="632CEDAA" w14:textId="77777777" w:rsidR="00EC5FB2" w:rsidRDefault="00EC5FB2" w:rsidP="008952DF">
      <w:r>
        <w:continuationSeparator/>
      </w:r>
    </w:p>
    <w:p w14:paraId="4DA68ACB" w14:textId="77777777" w:rsidR="00EC5FB2" w:rsidRDefault="00EC5FB2"/>
  </w:endnote>
  <w:endnote w:type="continuationNotice" w:id="1">
    <w:p w14:paraId="47AC77F1" w14:textId="77777777" w:rsidR="00EC5FB2" w:rsidRDefault="00EC5F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A91B0F" w14:textId="77777777" w:rsidR="00EC5FB2" w:rsidRDefault="00EC5FB2" w:rsidP="008952DF">
      <w:r>
        <w:separator/>
      </w:r>
    </w:p>
    <w:p w14:paraId="5D7FEE22" w14:textId="77777777" w:rsidR="00EC5FB2" w:rsidRDefault="00EC5FB2"/>
  </w:footnote>
  <w:footnote w:type="continuationSeparator" w:id="0">
    <w:p w14:paraId="086AD473" w14:textId="77777777" w:rsidR="00EC5FB2" w:rsidRDefault="00EC5FB2" w:rsidP="008952DF">
      <w:r>
        <w:continuationSeparator/>
      </w:r>
    </w:p>
    <w:p w14:paraId="056504DD" w14:textId="77777777" w:rsidR="00EC5FB2" w:rsidRDefault="00EC5FB2"/>
  </w:footnote>
  <w:footnote w:type="continuationNotice" w:id="1">
    <w:p w14:paraId="16D0BC38" w14:textId="77777777" w:rsidR="00EC5FB2" w:rsidRDefault="00EC5F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130"/>
      <w:gridCol w:w="5130"/>
      <w:gridCol w:w="5130"/>
    </w:tblGrid>
    <w:tr w:rsidR="46E97E2A" w14:paraId="34924178" w14:textId="77777777" w:rsidTr="00BA3885">
      <w:trPr>
        <w:trHeight w:val="300"/>
      </w:trPr>
      <w:tc>
        <w:tcPr>
          <w:tcW w:w="5130" w:type="dxa"/>
        </w:tcPr>
        <w:p w14:paraId="65B34303" w14:textId="00D7E3A4" w:rsidR="46E97E2A" w:rsidRDefault="46E97E2A" w:rsidP="00BA3885">
          <w:pPr>
            <w:pStyle w:val="Header"/>
            <w:ind w:left="-115"/>
          </w:pPr>
        </w:p>
      </w:tc>
      <w:tc>
        <w:tcPr>
          <w:tcW w:w="5130" w:type="dxa"/>
        </w:tcPr>
        <w:p w14:paraId="3AA27948" w14:textId="383B4C3A" w:rsidR="46E97E2A" w:rsidRDefault="46E97E2A" w:rsidP="00BA3885">
          <w:pPr>
            <w:pStyle w:val="Header"/>
            <w:jc w:val="center"/>
          </w:pPr>
        </w:p>
      </w:tc>
      <w:tc>
        <w:tcPr>
          <w:tcW w:w="5130" w:type="dxa"/>
        </w:tcPr>
        <w:p w14:paraId="20DEAEFB" w14:textId="3A6C4DFF" w:rsidR="46E97E2A" w:rsidRDefault="46E97E2A" w:rsidP="00BA3885">
          <w:pPr>
            <w:pStyle w:val="Header"/>
            <w:ind w:right="-115"/>
            <w:jc w:val="right"/>
          </w:pPr>
        </w:p>
      </w:tc>
    </w:tr>
  </w:tbl>
  <w:p w14:paraId="4AE8BE29" w14:textId="243CE06C" w:rsidR="46E97E2A" w:rsidRDefault="46E97E2A" w:rsidP="00BA38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46E97E2A" w14:paraId="708C662D" w14:textId="77777777" w:rsidTr="00BA3885">
      <w:trPr>
        <w:trHeight w:val="300"/>
      </w:trPr>
      <w:tc>
        <w:tcPr>
          <w:tcW w:w="3485" w:type="dxa"/>
        </w:tcPr>
        <w:p w14:paraId="3316BD20" w14:textId="7DA09F7C" w:rsidR="46E97E2A" w:rsidRDefault="46E97E2A" w:rsidP="00BA3885">
          <w:pPr>
            <w:pStyle w:val="Header"/>
            <w:ind w:left="-115"/>
          </w:pPr>
        </w:p>
      </w:tc>
      <w:tc>
        <w:tcPr>
          <w:tcW w:w="3485" w:type="dxa"/>
        </w:tcPr>
        <w:p w14:paraId="1C7D82CC" w14:textId="7C7F1CCF" w:rsidR="46E97E2A" w:rsidRDefault="46E97E2A" w:rsidP="00BA3885">
          <w:pPr>
            <w:pStyle w:val="Header"/>
            <w:jc w:val="center"/>
          </w:pPr>
        </w:p>
      </w:tc>
      <w:tc>
        <w:tcPr>
          <w:tcW w:w="3485" w:type="dxa"/>
        </w:tcPr>
        <w:p w14:paraId="3E8E1EE8" w14:textId="7AF2AFEA" w:rsidR="46E97E2A" w:rsidRDefault="46E97E2A" w:rsidP="00BA3885">
          <w:pPr>
            <w:pStyle w:val="Header"/>
            <w:ind w:right="-115"/>
            <w:jc w:val="right"/>
          </w:pPr>
        </w:p>
      </w:tc>
    </w:tr>
  </w:tbl>
  <w:p w14:paraId="7C03D05D" w14:textId="5D240CCF" w:rsidR="46E97E2A" w:rsidRDefault="46E97E2A" w:rsidP="00BA3885">
    <w:pPr>
      <w:pStyle w:val="Header"/>
    </w:pPr>
  </w:p>
</w:hdr>
</file>

<file path=word/intelligence2.xml><?xml version="1.0" encoding="utf-8"?>
<int2:intelligence xmlns:int2="http://schemas.microsoft.com/office/intelligence/2020/intelligence" xmlns:oel="http://schemas.microsoft.com/office/2019/extlst">
  <int2:observations>
    <int2:textHash int2:hashCode="K85v66flVd2wuP" int2:id="MXUr3oHZ">
      <int2:state int2:value="Rejected" int2:type="AugLoop_Text_Critique"/>
    </int2:textHash>
    <int2:bookmark int2:bookmarkName="_Int_ei92OpYb" int2:invalidationBookmarkName="" int2:hashCode="55Nn9j2iQVYB0B" int2:id="ti1Q5Nij">
      <int2:state int2:value="Rejected" int2:type="AugLoop_Text_Critique"/>
    </int2:bookmark>
    <int2:bookmark int2:bookmarkName="_Int_EfMn4LDu" int2:invalidationBookmarkName="" int2:hashCode="7vr5M0nlfRAlnY" int2:id="kMCY4h44">
      <int2:state int2:value="Rejected" int2:type="AugLoop_Text_Critique"/>
    </int2:bookmark>
    <int2:bookmark int2:bookmarkName="_Int_ydZR0FoO" int2:invalidationBookmarkName="" int2:hashCode="7vr5M0nlfRAlnY" int2:id="nx3ZCcMa">
      <int2:state int2:value="Rejected" int2:type="AugLoop_Text_Critique"/>
    </int2:bookmark>
    <int2:bookmark int2:bookmarkName="_Int_oiis8ppG" int2:invalidationBookmarkName="" int2:hashCode="PydjB0c3hXomnO" int2:id="QUIRDXNh">
      <int2:state int2:value="Rejected" int2:type="AugLoop_Text_Critique"/>
    </int2:bookmark>
    <int2:bookmark int2:bookmarkName="_Int_fJZvahsF" int2:invalidationBookmarkName="" int2:hashCode="E1+Tt6RJBbZOzq" int2:id="4L0U973Q">
      <int2:state int2:value="Rejected" int2:type="AugLoop_Text_Critique"/>
    </int2:bookmark>
    <int2:bookmark int2:bookmarkName="_Int_rKFOf5dW" int2:invalidationBookmarkName="" int2:hashCode="3wVcZpQj/aEI7R" int2:id="E1ihq3EH">
      <int2:state int2:value="Rejected" int2:type="AugLoop_Text_Critique"/>
    </int2:bookmark>
    <int2:bookmark int2:bookmarkName="_Int_U0cpV1Bx" int2:invalidationBookmarkName="" int2:hashCode="3wVcZpQj/aEI7R" int2:id="WWzgRei2">
      <int2:state int2:value="Rejected" int2:type="AugLoop_Text_Critique"/>
    </int2:bookmark>
    <int2:bookmark int2:bookmarkName="_Int_juqU322y" int2:invalidationBookmarkName="" int2:hashCode="W33NFKT6os3VTP" int2:id="xsBbgQpA">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042B96"/>
    <w:multiLevelType w:val="hybridMultilevel"/>
    <w:tmpl w:val="C2A26DEA"/>
    <w:lvl w:ilvl="0" w:tplc="08090005">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448435E"/>
    <w:multiLevelType w:val="hybridMultilevel"/>
    <w:tmpl w:val="54D8586E"/>
    <w:lvl w:ilvl="0" w:tplc="E1448FC2">
      <w:start w:val="1"/>
      <w:numFmt w:val="bullet"/>
      <w:lvlText w:val=""/>
      <w:lvlJc w:val="left"/>
      <w:pPr>
        <w:ind w:left="720" w:hanging="360"/>
      </w:pPr>
      <w:rPr>
        <w:rFonts w:ascii="Wingdings" w:hAnsi="Wingdings" w:hint="default"/>
        <w:color w:val="002F6C"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326101"/>
    <w:multiLevelType w:val="hybridMultilevel"/>
    <w:tmpl w:val="71A43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62A4BDF"/>
    <w:multiLevelType w:val="hybridMultilevel"/>
    <w:tmpl w:val="C6264D7C"/>
    <w:lvl w:ilvl="0" w:tplc="A792FEB6">
      <w:start w:val="1"/>
      <w:numFmt w:val="bullet"/>
      <w:lvlText w:val=""/>
      <w:lvlJc w:val="left"/>
      <w:pPr>
        <w:ind w:left="360" w:hanging="360"/>
      </w:pPr>
      <w:rPr>
        <w:rFonts w:ascii="Wingdings" w:hAnsi="Wingdings" w:hint="default"/>
        <w:color w:val="00A74A" w:themeColor="accent3"/>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F562A4C"/>
    <w:multiLevelType w:val="hybridMultilevel"/>
    <w:tmpl w:val="CA407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CA411DA"/>
    <w:multiLevelType w:val="hybridMultilevel"/>
    <w:tmpl w:val="E204406E"/>
    <w:lvl w:ilvl="0" w:tplc="DC5C5D26">
      <w:start w:val="1"/>
      <w:numFmt w:val="bullet"/>
      <w:pStyle w:val="squarebullets"/>
      <w:lvlText w:val=""/>
      <w:lvlJc w:val="left"/>
      <w:pPr>
        <w:ind w:left="360" w:hanging="360"/>
      </w:pPr>
      <w:rPr>
        <w:rFonts w:ascii="Wingdings" w:hAnsi="Wingdings" w:hint="default"/>
        <w:color w:val="002F6C"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37B94C"/>
    <w:multiLevelType w:val="hybridMultilevel"/>
    <w:tmpl w:val="C03071B6"/>
    <w:lvl w:ilvl="0" w:tplc="C308C366">
      <w:start w:val="1"/>
      <w:numFmt w:val="decimal"/>
      <w:lvlText w:val="%1."/>
      <w:lvlJc w:val="left"/>
      <w:pPr>
        <w:ind w:left="720" w:hanging="360"/>
      </w:pPr>
    </w:lvl>
    <w:lvl w:ilvl="1" w:tplc="9C7CC336">
      <w:start w:val="1"/>
      <w:numFmt w:val="lowerLetter"/>
      <w:lvlText w:val="%2."/>
      <w:lvlJc w:val="left"/>
      <w:pPr>
        <w:ind w:left="1440" w:hanging="360"/>
      </w:pPr>
    </w:lvl>
    <w:lvl w:ilvl="2" w:tplc="67386B34">
      <w:start w:val="1"/>
      <w:numFmt w:val="lowerRoman"/>
      <w:lvlText w:val="%3."/>
      <w:lvlJc w:val="right"/>
      <w:pPr>
        <w:ind w:left="2160" w:hanging="180"/>
      </w:pPr>
    </w:lvl>
    <w:lvl w:ilvl="3" w:tplc="1B920768">
      <w:start w:val="1"/>
      <w:numFmt w:val="decimal"/>
      <w:lvlText w:val="%4."/>
      <w:lvlJc w:val="left"/>
      <w:pPr>
        <w:ind w:left="2880" w:hanging="360"/>
      </w:pPr>
    </w:lvl>
    <w:lvl w:ilvl="4" w:tplc="6DD61EDC">
      <w:start w:val="1"/>
      <w:numFmt w:val="lowerLetter"/>
      <w:lvlText w:val="%5."/>
      <w:lvlJc w:val="left"/>
      <w:pPr>
        <w:ind w:left="3600" w:hanging="360"/>
      </w:pPr>
    </w:lvl>
    <w:lvl w:ilvl="5" w:tplc="56A69A76">
      <w:start w:val="1"/>
      <w:numFmt w:val="lowerRoman"/>
      <w:lvlText w:val="%6."/>
      <w:lvlJc w:val="right"/>
      <w:pPr>
        <w:ind w:left="4320" w:hanging="180"/>
      </w:pPr>
    </w:lvl>
    <w:lvl w:ilvl="6" w:tplc="2D2ECDD4">
      <w:start w:val="1"/>
      <w:numFmt w:val="decimal"/>
      <w:lvlText w:val="%7."/>
      <w:lvlJc w:val="left"/>
      <w:pPr>
        <w:ind w:left="5040" w:hanging="360"/>
      </w:pPr>
    </w:lvl>
    <w:lvl w:ilvl="7" w:tplc="DC068396">
      <w:start w:val="1"/>
      <w:numFmt w:val="lowerLetter"/>
      <w:lvlText w:val="%8."/>
      <w:lvlJc w:val="left"/>
      <w:pPr>
        <w:ind w:left="5760" w:hanging="360"/>
      </w:pPr>
    </w:lvl>
    <w:lvl w:ilvl="8" w:tplc="927C4B9E">
      <w:start w:val="1"/>
      <w:numFmt w:val="lowerRoman"/>
      <w:lvlText w:val="%9."/>
      <w:lvlJc w:val="right"/>
      <w:pPr>
        <w:ind w:left="6480" w:hanging="180"/>
      </w:pPr>
    </w:lvl>
  </w:abstractNum>
  <w:abstractNum w:abstractNumId="13" w15:restartNumberingAfterBreak="0">
    <w:nsid w:val="41E47703"/>
    <w:multiLevelType w:val="hybridMultilevel"/>
    <w:tmpl w:val="FFE48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5" w15:restartNumberingAfterBreak="0">
    <w:nsid w:val="4FCB7541"/>
    <w:multiLevelType w:val="multilevel"/>
    <w:tmpl w:val="1DFED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556063D"/>
    <w:multiLevelType w:val="hybridMultilevel"/>
    <w:tmpl w:val="EC7290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20" w15:restartNumberingAfterBreak="0">
    <w:nsid w:val="70D602E5"/>
    <w:multiLevelType w:val="hybridMultilevel"/>
    <w:tmpl w:val="DF3A67AC"/>
    <w:lvl w:ilvl="0" w:tplc="0CF4563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AC34B1"/>
    <w:multiLevelType w:val="hybridMultilevel"/>
    <w:tmpl w:val="3D14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EA604AC"/>
    <w:multiLevelType w:val="hybridMultilevel"/>
    <w:tmpl w:val="BD340A2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5938403">
    <w:abstractNumId w:val="12"/>
  </w:num>
  <w:num w:numId="2" w16cid:durableId="1754813652">
    <w:abstractNumId w:val="18"/>
  </w:num>
  <w:num w:numId="3" w16cid:durableId="1468543687">
    <w:abstractNumId w:val="1"/>
  </w:num>
  <w:num w:numId="4" w16cid:durableId="93021122">
    <w:abstractNumId w:val="22"/>
  </w:num>
  <w:num w:numId="5" w16cid:durableId="410006497">
    <w:abstractNumId w:val="10"/>
  </w:num>
  <w:num w:numId="6" w16cid:durableId="1619490991">
    <w:abstractNumId w:val="17"/>
  </w:num>
  <w:num w:numId="7" w16cid:durableId="1653605051">
    <w:abstractNumId w:val="6"/>
  </w:num>
  <w:num w:numId="8" w16cid:durableId="140462736">
    <w:abstractNumId w:val="19"/>
  </w:num>
  <w:num w:numId="9" w16cid:durableId="1677032709">
    <w:abstractNumId w:val="14"/>
  </w:num>
  <w:num w:numId="10" w16cid:durableId="662514334">
    <w:abstractNumId w:val="0"/>
  </w:num>
  <w:num w:numId="11" w16cid:durableId="1061561615">
    <w:abstractNumId w:val="8"/>
  </w:num>
  <w:num w:numId="12" w16cid:durableId="1868104476">
    <w:abstractNumId w:val="4"/>
  </w:num>
  <w:num w:numId="13" w16cid:durableId="1072852006">
    <w:abstractNumId w:val="7"/>
  </w:num>
  <w:num w:numId="14" w16cid:durableId="2134246048">
    <w:abstractNumId w:val="11"/>
  </w:num>
  <w:num w:numId="15" w16cid:durableId="1796832952">
    <w:abstractNumId w:val="17"/>
  </w:num>
  <w:num w:numId="16" w16cid:durableId="881134873">
    <w:abstractNumId w:val="3"/>
  </w:num>
  <w:num w:numId="17" w16cid:durableId="180050003">
    <w:abstractNumId w:val="2"/>
  </w:num>
  <w:num w:numId="18" w16cid:durableId="387261371">
    <w:abstractNumId w:val="23"/>
  </w:num>
  <w:num w:numId="19" w16cid:durableId="2059237823">
    <w:abstractNumId w:val="20"/>
  </w:num>
  <w:num w:numId="20" w16cid:durableId="1583761182">
    <w:abstractNumId w:val="5"/>
  </w:num>
  <w:num w:numId="21" w16cid:durableId="67464831">
    <w:abstractNumId w:val="13"/>
  </w:num>
  <w:num w:numId="22" w16cid:durableId="344019080">
    <w:abstractNumId w:val="9"/>
  </w:num>
  <w:num w:numId="23" w16cid:durableId="1747606755">
    <w:abstractNumId w:val="15"/>
  </w:num>
  <w:num w:numId="24" w16cid:durableId="1098018431">
    <w:abstractNumId w:val="16"/>
  </w:num>
  <w:num w:numId="25" w16cid:durableId="132778560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A8A"/>
    <w:rsid w:val="00000F39"/>
    <w:rsid w:val="00001A99"/>
    <w:rsid w:val="00001F8B"/>
    <w:rsid w:val="0000707C"/>
    <w:rsid w:val="00010F69"/>
    <w:rsid w:val="0002446C"/>
    <w:rsid w:val="0003166B"/>
    <w:rsid w:val="00044256"/>
    <w:rsid w:val="000500ED"/>
    <w:rsid w:val="000531E6"/>
    <w:rsid w:val="00057F1A"/>
    <w:rsid w:val="00072C16"/>
    <w:rsid w:val="000831EA"/>
    <w:rsid w:val="00087318"/>
    <w:rsid w:val="00091121"/>
    <w:rsid w:val="00094764"/>
    <w:rsid w:val="000953D0"/>
    <w:rsid w:val="00095FA1"/>
    <w:rsid w:val="00097171"/>
    <w:rsid w:val="000A1306"/>
    <w:rsid w:val="000A3CE0"/>
    <w:rsid w:val="000B6850"/>
    <w:rsid w:val="000C0A36"/>
    <w:rsid w:val="000C6E08"/>
    <w:rsid w:val="000D53A4"/>
    <w:rsid w:val="000D7DE0"/>
    <w:rsid w:val="000E30B6"/>
    <w:rsid w:val="000F54CC"/>
    <w:rsid w:val="000F5CF2"/>
    <w:rsid w:val="000F7EFD"/>
    <w:rsid w:val="00100DDB"/>
    <w:rsid w:val="00117A5A"/>
    <w:rsid w:val="00121A96"/>
    <w:rsid w:val="00137A43"/>
    <w:rsid w:val="001460A9"/>
    <w:rsid w:val="00166D5D"/>
    <w:rsid w:val="00175199"/>
    <w:rsid w:val="00180E69"/>
    <w:rsid w:val="00182F58"/>
    <w:rsid w:val="00184677"/>
    <w:rsid w:val="00186358"/>
    <w:rsid w:val="0018695F"/>
    <w:rsid w:val="001875F2"/>
    <w:rsid w:val="00192CDB"/>
    <w:rsid w:val="00194C7A"/>
    <w:rsid w:val="001B3442"/>
    <w:rsid w:val="001C135C"/>
    <w:rsid w:val="001C1EA3"/>
    <w:rsid w:val="001D15D4"/>
    <w:rsid w:val="001D2598"/>
    <w:rsid w:val="001D76AC"/>
    <w:rsid w:val="001E2313"/>
    <w:rsid w:val="001E5F5F"/>
    <w:rsid w:val="001E71C2"/>
    <w:rsid w:val="001E7318"/>
    <w:rsid w:val="001F2961"/>
    <w:rsid w:val="001F4676"/>
    <w:rsid w:val="00202C7D"/>
    <w:rsid w:val="00207454"/>
    <w:rsid w:val="00225130"/>
    <w:rsid w:val="00227804"/>
    <w:rsid w:val="00236053"/>
    <w:rsid w:val="002409E3"/>
    <w:rsid w:val="00253581"/>
    <w:rsid w:val="0025623B"/>
    <w:rsid w:val="00265CCE"/>
    <w:rsid w:val="00274CBC"/>
    <w:rsid w:val="00275DE0"/>
    <w:rsid w:val="00282693"/>
    <w:rsid w:val="002827D2"/>
    <w:rsid w:val="00292035"/>
    <w:rsid w:val="002A04D1"/>
    <w:rsid w:val="002A06EF"/>
    <w:rsid w:val="002A4A6C"/>
    <w:rsid w:val="002A4DD9"/>
    <w:rsid w:val="002B3475"/>
    <w:rsid w:val="002C141A"/>
    <w:rsid w:val="002C382C"/>
    <w:rsid w:val="002E1056"/>
    <w:rsid w:val="002E613A"/>
    <w:rsid w:val="002F3ED6"/>
    <w:rsid w:val="00301258"/>
    <w:rsid w:val="00304F37"/>
    <w:rsid w:val="00311899"/>
    <w:rsid w:val="003122D1"/>
    <w:rsid w:val="003231C3"/>
    <w:rsid w:val="00324433"/>
    <w:rsid w:val="00332F02"/>
    <w:rsid w:val="003333FA"/>
    <w:rsid w:val="003420C5"/>
    <w:rsid w:val="00344E20"/>
    <w:rsid w:val="003736D0"/>
    <w:rsid w:val="0037406A"/>
    <w:rsid w:val="00385B36"/>
    <w:rsid w:val="0039100B"/>
    <w:rsid w:val="00393095"/>
    <w:rsid w:val="0039378D"/>
    <w:rsid w:val="0039554A"/>
    <w:rsid w:val="003A0BAA"/>
    <w:rsid w:val="003A4FC8"/>
    <w:rsid w:val="003B0257"/>
    <w:rsid w:val="003B5A7C"/>
    <w:rsid w:val="003C21AE"/>
    <w:rsid w:val="003C251D"/>
    <w:rsid w:val="003C74AC"/>
    <w:rsid w:val="003D06D7"/>
    <w:rsid w:val="003D628A"/>
    <w:rsid w:val="003D6A4E"/>
    <w:rsid w:val="003E017B"/>
    <w:rsid w:val="003E297A"/>
    <w:rsid w:val="003E72CE"/>
    <w:rsid w:val="0040166E"/>
    <w:rsid w:val="00405C8E"/>
    <w:rsid w:val="0041609E"/>
    <w:rsid w:val="0042557B"/>
    <w:rsid w:val="00425C7A"/>
    <w:rsid w:val="00426DC2"/>
    <w:rsid w:val="00431F31"/>
    <w:rsid w:val="004371CA"/>
    <w:rsid w:val="0044088B"/>
    <w:rsid w:val="00441A8A"/>
    <w:rsid w:val="00445FF4"/>
    <w:rsid w:val="00447CA0"/>
    <w:rsid w:val="0045353F"/>
    <w:rsid w:val="00464B5A"/>
    <w:rsid w:val="004818D8"/>
    <w:rsid w:val="004876E0"/>
    <w:rsid w:val="00492E76"/>
    <w:rsid w:val="00494BED"/>
    <w:rsid w:val="00495269"/>
    <w:rsid w:val="004A1AA3"/>
    <w:rsid w:val="004C34B3"/>
    <w:rsid w:val="004D1E46"/>
    <w:rsid w:val="004E00FE"/>
    <w:rsid w:val="004E69FD"/>
    <w:rsid w:val="004F7707"/>
    <w:rsid w:val="00504345"/>
    <w:rsid w:val="0051209D"/>
    <w:rsid w:val="005141F7"/>
    <w:rsid w:val="0052518F"/>
    <w:rsid w:val="00531638"/>
    <w:rsid w:val="00535E08"/>
    <w:rsid w:val="00535E8E"/>
    <w:rsid w:val="005364C5"/>
    <w:rsid w:val="00545846"/>
    <w:rsid w:val="00545EC1"/>
    <w:rsid w:val="005528A2"/>
    <w:rsid w:val="005559BE"/>
    <w:rsid w:val="005716D5"/>
    <w:rsid w:val="005846F2"/>
    <w:rsid w:val="00585E24"/>
    <w:rsid w:val="0059432D"/>
    <w:rsid w:val="00594633"/>
    <w:rsid w:val="005A13BF"/>
    <w:rsid w:val="005A431E"/>
    <w:rsid w:val="005A75AC"/>
    <w:rsid w:val="005B50F3"/>
    <w:rsid w:val="005D119E"/>
    <w:rsid w:val="005E2D99"/>
    <w:rsid w:val="005F26B4"/>
    <w:rsid w:val="005F3658"/>
    <w:rsid w:val="006126ED"/>
    <w:rsid w:val="00612AE5"/>
    <w:rsid w:val="00627F4C"/>
    <w:rsid w:val="00641025"/>
    <w:rsid w:val="00644AEF"/>
    <w:rsid w:val="0064669E"/>
    <w:rsid w:val="00647189"/>
    <w:rsid w:val="00655163"/>
    <w:rsid w:val="0066259F"/>
    <w:rsid w:val="00670DC8"/>
    <w:rsid w:val="00690562"/>
    <w:rsid w:val="006944EA"/>
    <w:rsid w:val="00696010"/>
    <w:rsid w:val="006965D5"/>
    <w:rsid w:val="006A16F8"/>
    <w:rsid w:val="006A58B0"/>
    <w:rsid w:val="006A6601"/>
    <w:rsid w:val="006B2C3E"/>
    <w:rsid w:val="006C0141"/>
    <w:rsid w:val="006C445B"/>
    <w:rsid w:val="006D5584"/>
    <w:rsid w:val="006F0285"/>
    <w:rsid w:val="006F25AD"/>
    <w:rsid w:val="007033B3"/>
    <w:rsid w:val="00705F3A"/>
    <w:rsid w:val="00711669"/>
    <w:rsid w:val="00716211"/>
    <w:rsid w:val="00724822"/>
    <w:rsid w:val="00726EA3"/>
    <w:rsid w:val="00730A10"/>
    <w:rsid w:val="007317D7"/>
    <w:rsid w:val="00740539"/>
    <w:rsid w:val="00745C0F"/>
    <w:rsid w:val="00746495"/>
    <w:rsid w:val="00748492"/>
    <w:rsid w:val="00753D75"/>
    <w:rsid w:val="007547C1"/>
    <w:rsid w:val="007554BF"/>
    <w:rsid w:val="00764B3B"/>
    <w:rsid w:val="007803B8"/>
    <w:rsid w:val="00782181"/>
    <w:rsid w:val="007833C2"/>
    <w:rsid w:val="00783AA3"/>
    <w:rsid w:val="00787215"/>
    <w:rsid w:val="007937D9"/>
    <w:rsid w:val="007A4A49"/>
    <w:rsid w:val="007A7C25"/>
    <w:rsid w:val="007B171E"/>
    <w:rsid w:val="007C1E6C"/>
    <w:rsid w:val="007C339D"/>
    <w:rsid w:val="007C53AD"/>
    <w:rsid w:val="007D3EE4"/>
    <w:rsid w:val="007E18C7"/>
    <w:rsid w:val="007E3FF9"/>
    <w:rsid w:val="007F069C"/>
    <w:rsid w:val="00805D67"/>
    <w:rsid w:val="0081785E"/>
    <w:rsid w:val="00837C59"/>
    <w:rsid w:val="008723F4"/>
    <w:rsid w:val="008829B9"/>
    <w:rsid w:val="008864BB"/>
    <w:rsid w:val="0089346F"/>
    <w:rsid w:val="0089367A"/>
    <w:rsid w:val="008952DF"/>
    <w:rsid w:val="008967F2"/>
    <w:rsid w:val="008A01C5"/>
    <w:rsid w:val="008A0DF0"/>
    <w:rsid w:val="008C04D8"/>
    <w:rsid w:val="008C2854"/>
    <w:rsid w:val="008D5A60"/>
    <w:rsid w:val="008F22F8"/>
    <w:rsid w:val="008F337F"/>
    <w:rsid w:val="00900F00"/>
    <w:rsid w:val="0090565F"/>
    <w:rsid w:val="009101DF"/>
    <w:rsid w:val="00914A1C"/>
    <w:rsid w:val="009155A2"/>
    <w:rsid w:val="00916D52"/>
    <w:rsid w:val="0092088C"/>
    <w:rsid w:val="00922CB4"/>
    <w:rsid w:val="00931AD0"/>
    <w:rsid w:val="0093533B"/>
    <w:rsid w:val="00942E22"/>
    <w:rsid w:val="0096451D"/>
    <w:rsid w:val="00971BED"/>
    <w:rsid w:val="00973E76"/>
    <w:rsid w:val="0098194D"/>
    <w:rsid w:val="00984E08"/>
    <w:rsid w:val="00993B17"/>
    <w:rsid w:val="00993FE1"/>
    <w:rsid w:val="00994584"/>
    <w:rsid w:val="00994F8F"/>
    <w:rsid w:val="009A015F"/>
    <w:rsid w:val="009A56FA"/>
    <w:rsid w:val="009B29B7"/>
    <w:rsid w:val="009B3299"/>
    <w:rsid w:val="009B32BB"/>
    <w:rsid w:val="009B41EF"/>
    <w:rsid w:val="009B6BCC"/>
    <w:rsid w:val="009B7227"/>
    <w:rsid w:val="009C4D97"/>
    <w:rsid w:val="009C5754"/>
    <w:rsid w:val="009C63EE"/>
    <w:rsid w:val="009C7115"/>
    <w:rsid w:val="009D5C61"/>
    <w:rsid w:val="009E4304"/>
    <w:rsid w:val="009E7E6A"/>
    <w:rsid w:val="009F1DDD"/>
    <w:rsid w:val="00A00BD3"/>
    <w:rsid w:val="00A06677"/>
    <w:rsid w:val="00A219FB"/>
    <w:rsid w:val="00A24335"/>
    <w:rsid w:val="00A30BEF"/>
    <w:rsid w:val="00A55559"/>
    <w:rsid w:val="00A67AFC"/>
    <w:rsid w:val="00A73816"/>
    <w:rsid w:val="00A8115C"/>
    <w:rsid w:val="00A93B97"/>
    <w:rsid w:val="00AB19FC"/>
    <w:rsid w:val="00AC5579"/>
    <w:rsid w:val="00AD1231"/>
    <w:rsid w:val="00AD1EE8"/>
    <w:rsid w:val="00B0244B"/>
    <w:rsid w:val="00B30DE4"/>
    <w:rsid w:val="00B328D6"/>
    <w:rsid w:val="00B34EC3"/>
    <w:rsid w:val="00B377FC"/>
    <w:rsid w:val="00B5177D"/>
    <w:rsid w:val="00B722C0"/>
    <w:rsid w:val="00B77D95"/>
    <w:rsid w:val="00B80121"/>
    <w:rsid w:val="00BA1CF2"/>
    <w:rsid w:val="00BA3885"/>
    <w:rsid w:val="00BB4A58"/>
    <w:rsid w:val="00BB7528"/>
    <w:rsid w:val="00BC1ABF"/>
    <w:rsid w:val="00BC2F21"/>
    <w:rsid w:val="00BD1307"/>
    <w:rsid w:val="00BD41A7"/>
    <w:rsid w:val="00BE249D"/>
    <w:rsid w:val="00BE62DD"/>
    <w:rsid w:val="00BE6CB2"/>
    <w:rsid w:val="00BF212D"/>
    <w:rsid w:val="00BF558C"/>
    <w:rsid w:val="00C00AB0"/>
    <w:rsid w:val="00C20906"/>
    <w:rsid w:val="00C257FD"/>
    <w:rsid w:val="00C2673A"/>
    <w:rsid w:val="00C34E50"/>
    <w:rsid w:val="00C360AA"/>
    <w:rsid w:val="00C453E8"/>
    <w:rsid w:val="00C4733A"/>
    <w:rsid w:val="00C520E4"/>
    <w:rsid w:val="00C64C90"/>
    <w:rsid w:val="00C6678C"/>
    <w:rsid w:val="00C67112"/>
    <w:rsid w:val="00C7563C"/>
    <w:rsid w:val="00C907E9"/>
    <w:rsid w:val="00CA275F"/>
    <w:rsid w:val="00CB3316"/>
    <w:rsid w:val="00CC10AF"/>
    <w:rsid w:val="00CC3F0D"/>
    <w:rsid w:val="00CD025F"/>
    <w:rsid w:val="00CD72EC"/>
    <w:rsid w:val="00CE3D23"/>
    <w:rsid w:val="00CE50FA"/>
    <w:rsid w:val="00CE70FC"/>
    <w:rsid w:val="00CF63FC"/>
    <w:rsid w:val="00D00648"/>
    <w:rsid w:val="00D04B17"/>
    <w:rsid w:val="00D110DF"/>
    <w:rsid w:val="00D16AD1"/>
    <w:rsid w:val="00D209BA"/>
    <w:rsid w:val="00D257D0"/>
    <w:rsid w:val="00D25ABF"/>
    <w:rsid w:val="00D6066E"/>
    <w:rsid w:val="00D62858"/>
    <w:rsid w:val="00D72AD0"/>
    <w:rsid w:val="00D77512"/>
    <w:rsid w:val="00D85047"/>
    <w:rsid w:val="00D92380"/>
    <w:rsid w:val="00DA2403"/>
    <w:rsid w:val="00DB7B86"/>
    <w:rsid w:val="00DC169F"/>
    <w:rsid w:val="00DC7727"/>
    <w:rsid w:val="00DC7917"/>
    <w:rsid w:val="00DD062A"/>
    <w:rsid w:val="00DD3B2F"/>
    <w:rsid w:val="00DD4FEC"/>
    <w:rsid w:val="00DE41D3"/>
    <w:rsid w:val="00DF6868"/>
    <w:rsid w:val="00E03352"/>
    <w:rsid w:val="00E078E6"/>
    <w:rsid w:val="00E1563B"/>
    <w:rsid w:val="00E15741"/>
    <w:rsid w:val="00E36796"/>
    <w:rsid w:val="00E4506D"/>
    <w:rsid w:val="00E460A7"/>
    <w:rsid w:val="00E46465"/>
    <w:rsid w:val="00E5398C"/>
    <w:rsid w:val="00E53C10"/>
    <w:rsid w:val="00E61C10"/>
    <w:rsid w:val="00E65E6E"/>
    <w:rsid w:val="00E73B84"/>
    <w:rsid w:val="00E8218D"/>
    <w:rsid w:val="00E83D1D"/>
    <w:rsid w:val="00E86C84"/>
    <w:rsid w:val="00E93E7D"/>
    <w:rsid w:val="00EA0613"/>
    <w:rsid w:val="00EA6AFD"/>
    <w:rsid w:val="00EB40F2"/>
    <w:rsid w:val="00EB6BD0"/>
    <w:rsid w:val="00EC5FB2"/>
    <w:rsid w:val="00EC6EA6"/>
    <w:rsid w:val="00ED41B6"/>
    <w:rsid w:val="00EF33FD"/>
    <w:rsid w:val="00F00529"/>
    <w:rsid w:val="00F02196"/>
    <w:rsid w:val="00F02F55"/>
    <w:rsid w:val="00F05D69"/>
    <w:rsid w:val="00F063E2"/>
    <w:rsid w:val="00F13FBA"/>
    <w:rsid w:val="00F228DC"/>
    <w:rsid w:val="00F251DF"/>
    <w:rsid w:val="00F315B4"/>
    <w:rsid w:val="00F358D1"/>
    <w:rsid w:val="00F4446F"/>
    <w:rsid w:val="00F64023"/>
    <w:rsid w:val="00F70722"/>
    <w:rsid w:val="00F7708C"/>
    <w:rsid w:val="00F8042D"/>
    <w:rsid w:val="00F80F89"/>
    <w:rsid w:val="00F824F9"/>
    <w:rsid w:val="00F852AA"/>
    <w:rsid w:val="00F87B8D"/>
    <w:rsid w:val="00F90A35"/>
    <w:rsid w:val="00FA5A42"/>
    <w:rsid w:val="00FA7056"/>
    <w:rsid w:val="00FA7CF7"/>
    <w:rsid w:val="00FB1FE7"/>
    <w:rsid w:val="00FB46E7"/>
    <w:rsid w:val="00FB63E4"/>
    <w:rsid w:val="00FC4920"/>
    <w:rsid w:val="00FD16AB"/>
    <w:rsid w:val="00FD3775"/>
    <w:rsid w:val="00FD5761"/>
    <w:rsid w:val="00FD59C5"/>
    <w:rsid w:val="00FD7DED"/>
    <w:rsid w:val="00FE6A37"/>
    <w:rsid w:val="00FF1CA3"/>
    <w:rsid w:val="00FF657D"/>
    <w:rsid w:val="00FF66A4"/>
    <w:rsid w:val="010373E2"/>
    <w:rsid w:val="0103C266"/>
    <w:rsid w:val="0138CCCE"/>
    <w:rsid w:val="015B10B8"/>
    <w:rsid w:val="0180E020"/>
    <w:rsid w:val="01AE6BA3"/>
    <w:rsid w:val="02134F22"/>
    <w:rsid w:val="032A9C5C"/>
    <w:rsid w:val="032DD1F5"/>
    <w:rsid w:val="0361CDDD"/>
    <w:rsid w:val="0375AE7E"/>
    <w:rsid w:val="05048386"/>
    <w:rsid w:val="0518D4D8"/>
    <w:rsid w:val="052B583D"/>
    <w:rsid w:val="05FB4BF2"/>
    <w:rsid w:val="062E8027"/>
    <w:rsid w:val="06321ED8"/>
    <w:rsid w:val="067D5256"/>
    <w:rsid w:val="06B49936"/>
    <w:rsid w:val="071057CF"/>
    <w:rsid w:val="072520F6"/>
    <w:rsid w:val="07C5B553"/>
    <w:rsid w:val="0819FE2E"/>
    <w:rsid w:val="0A27B9C7"/>
    <w:rsid w:val="0A2E38F2"/>
    <w:rsid w:val="0A3F40DE"/>
    <w:rsid w:val="0A4AAB88"/>
    <w:rsid w:val="0A5C5300"/>
    <w:rsid w:val="0AA73905"/>
    <w:rsid w:val="0B474B18"/>
    <w:rsid w:val="0BACA487"/>
    <w:rsid w:val="0BB81146"/>
    <w:rsid w:val="0BE462F5"/>
    <w:rsid w:val="0C68AB80"/>
    <w:rsid w:val="0D6F10D8"/>
    <w:rsid w:val="0E23B05A"/>
    <w:rsid w:val="0E4E431B"/>
    <w:rsid w:val="0EAB99E1"/>
    <w:rsid w:val="0F03D024"/>
    <w:rsid w:val="0F84A6B6"/>
    <w:rsid w:val="0FC7C647"/>
    <w:rsid w:val="0FDA7A60"/>
    <w:rsid w:val="10687EA2"/>
    <w:rsid w:val="10967007"/>
    <w:rsid w:val="110E57A6"/>
    <w:rsid w:val="11503D21"/>
    <w:rsid w:val="1153C7DB"/>
    <w:rsid w:val="117CC5E3"/>
    <w:rsid w:val="12689472"/>
    <w:rsid w:val="13F3DE36"/>
    <w:rsid w:val="141669F3"/>
    <w:rsid w:val="1426D92C"/>
    <w:rsid w:val="14F86636"/>
    <w:rsid w:val="153B7EE5"/>
    <w:rsid w:val="15B23A54"/>
    <w:rsid w:val="15B78FFF"/>
    <w:rsid w:val="163707CB"/>
    <w:rsid w:val="1651B42C"/>
    <w:rsid w:val="17170B09"/>
    <w:rsid w:val="1734E258"/>
    <w:rsid w:val="175E8051"/>
    <w:rsid w:val="17C2DDD7"/>
    <w:rsid w:val="17C80289"/>
    <w:rsid w:val="17D3B65B"/>
    <w:rsid w:val="1980F030"/>
    <w:rsid w:val="1988C483"/>
    <w:rsid w:val="19ECA379"/>
    <w:rsid w:val="1A489A53"/>
    <w:rsid w:val="1A59092A"/>
    <w:rsid w:val="1ABC4A5B"/>
    <w:rsid w:val="1AD6D21D"/>
    <w:rsid w:val="1B5BE127"/>
    <w:rsid w:val="1B703F55"/>
    <w:rsid w:val="1B96F39E"/>
    <w:rsid w:val="1C1A4A17"/>
    <w:rsid w:val="1C25999E"/>
    <w:rsid w:val="1C463F9E"/>
    <w:rsid w:val="1C9C9754"/>
    <w:rsid w:val="1CA6494F"/>
    <w:rsid w:val="1CA9963E"/>
    <w:rsid w:val="1D74B970"/>
    <w:rsid w:val="1E2497E3"/>
    <w:rsid w:val="1E2B18E2"/>
    <w:rsid w:val="1E5F7BBC"/>
    <w:rsid w:val="1E9EAF06"/>
    <w:rsid w:val="1ECFE1D4"/>
    <w:rsid w:val="1FB82FE4"/>
    <w:rsid w:val="211A5FB5"/>
    <w:rsid w:val="224FF632"/>
    <w:rsid w:val="228E6536"/>
    <w:rsid w:val="23158AD3"/>
    <w:rsid w:val="23587E0A"/>
    <w:rsid w:val="245499F0"/>
    <w:rsid w:val="2458C0E0"/>
    <w:rsid w:val="249AF42C"/>
    <w:rsid w:val="24A67FB8"/>
    <w:rsid w:val="254F2DCC"/>
    <w:rsid w:val="25B9B702"/>
    <w:rsid w:val="269E803B"/>
    <w:rsid w:val="26D9AB2D"/>
    <w:rsid w:val="27BC4249"/>
    <w:rsid w:val="27D2AE5D"/>
    <w:rsid w:val="27EEC13B"/>
    <w:rsid w:val="28A0109B"/>
    <w:rsid w:val="28F660EC"/>
    <w:rsid w:val="28FD4BB3"/>
    <w:rsid w:val="291152D4"/>
    <w:rsid w:val="2914036D"/>
    <w:rsid w:val="29FA0E49"/>
    <w:rsid w:val="2A04B1D8"/>
    <w:rsid w:val="2B00E974"/>
    <w:rsid w:val="2B434537"/>
    <w:rsid w:val="2B601F88"/>
    <w:rsid w:val="2BB504EE"/>
    <w:rsid w:val="2BF3D5F6"/>
    <w:rsid w:val="2BFEA875"/>
    <w:rsid w:val="2C768DC4"/>
    <w:rsid w:val="2D76F58B"/>
    <w:rsid w:val="2F2A2ED8"/>
    <w:rsid w:val="2FDCEE97"/>
    <w:rsid w:val="301A1BAD"/>
    <w:rsid w:val="3045C29D"/>
    <w:rsid w:val="30973584"/>
    <w:rsid w:val="3152FC3F"/>
    <w:rsid w:val="31BA0F65"/>
    <w:rsid w:val="31D83762"/>
    <w:rsid w:val="31D95BB9"/>
    <w:rsid w:val="31E0B535"/>
    <w:rsid w:val="324A6551"/>
    <w:rsid w:val="33339C23"/>
    <w:rsid w:val="33B3155D"/>
    <w:rsid w:val="34009A9F"/>
    <w:rsid w:val="346CBD22"/>
    <w:rsid w:val="3493DF8E"/>
    <w:rsid w:val="34C4CF4D"/>
    <w:rsid w:val="34DAE4E6"/>
    <w:rsid w:val="3631B802"/>
    <w:rsid w:val="366B3CE5"/>
    <w:rsid w:val="367D2A3D"/>
    <w:rsid w:val="36D0CCE9"/>
    <w:rsid w:val="3797A5A7"/>
    <w:rsid w:val="37C5BB57"/>
    <w:rsid w:val="386B8A37"/>
    <w:rsid w:val="38F1856B"/>
    <w:rsid w:val="3969A68D"/>
    <w:rsid w:val="39B4BE63"/>
    <w:rsid w:val="3A1B81BE"/>
    <w:rsid w:val="3AB9DF27"/>
    <w:rsid w:val="3AE0E629"/>
    <w:rsid w:val="3B4FF2A9"/>
    <w:rsid w:val="3B5B1648"/>
    <w:rsid w:val="3B7A7029"/>
    <w:rsid w:val="3BA467A8"/>
    <w:rsid w:val="3C2DDA90"/>
    <w:rsid w:val="3C2ECDF0"/>
    <w:rsid w:val="3C37411E"/>
    <w:rsid w:val="3C8D2AB2"/>
    <w:rsid w:val="3D8E0271"/>
    <w:rsid w:val="3E344CF4"/>
    <w:rsid w:val="3F50E960"/>
    <w:rsid w:val="3F636FC3"/>
    <w:rsid w:val="3FBFA116"/>
    <w:rsid w:val="3FF01066"/>
    <w:rsid w:val="40002F04"/>
    <w:rsid w:val="40900942"/>
    <w:rsid w:val="40ECB9C1"/>
    <w:rsid w:val="4163A709"/>
    <w:rsid w:val="419CB4B5"/>
    <w:rsid w:val="41CF818D"/>
    <w:rsid w:val="4283F3B7"/>
    <w:rsid w:val="42888A22"/>
    <w:rsid w:val="42C9ACB7"/>
    <w:rsid w:val="42E5FBA3"/>
    <w:rsid w:val="4355C63F"/>
    <w:rsid w:val="43793718"/>
    <w:rsid w:val="438A4CCB"/>
    <w:rsid w:val="441FC418"/>
    <w:rsid w:val="457FE254"/>
    <w:rsid w:val="45B86D4E"/>
    <w:rsid w:val="46342B00"/>
    <w:rsid w:val="46BE0571"/>
    <w:rsid w:val="46E97E2A"/>
    <w:rsid w:val="46F51FDE"/>
    <w:rsid w:val="4705BC03"/>
    <w:rsid w:val="47A503D7"/>
    <w:rsid w:val="47C127E1"/>
    <w:rsid w:val="47E73930"/>
    <w:rsid w:val="47F14891"/>
    <w:rsid w:val="4817CA06"/>
    <w:rsid w:val="483617F1"/>
    <w:rsid w:val="4859D5D2"/>
    <w:rsid w:val="48A18C64"/>
    <w:rsid w:val="492D3EA7"/>
    <w:rsid w:val="49A790DC"/>
    <w:rsid w:val="4A360D6A"/>
    <w:rsid w:val="4ADA82C4"/>
    <w:rsid w:val="4AEC4D8E"/>
    <w:rsid w:val="4B0B1C66"/>
    <w:rsid w:val="4C326305"/>
    <w:rsid w:val="4C776A75"/>
    <w:rsid w:val="4CDBDD60"/>
    <w:rsid w:val="4CFE2530"/>
    <w:rsid w:val="4D2186A2"/>
    <w:rsid w:val="4D3E71B8"/>
    <w:rsid w:val="4D95ACD0"/>
    <w:rsid w:val="4DCB3CC9"/>
    <w:rsid w:val="4E2109E8"/>
    <w:rsid w:val="4E267C69"/>
    <w:rsid w:val="4E5651BB"/>
    <w:rsid w:val="50E90AA2"/>
    <w:rsid w:val="51473145"/>
    <w:rsid w:val="515F7421"/>
    <w:rsid w:val="517E891F"/>
    <w:rsid w:val="51898A03"/>
    <w:rsid w:val="5269F2D1"/>
    <w:rsid w:val="532EA08D"/>
    <w:rsid w:val="5405C332"/>
    <w:rsid w:val="545CEEC8"/>
    <w:rsid w:val="55EF0FD5"/>
    <w:rsid w:val="560ED390"/>
    <w:rsid w:val="564B0AC9"/>
    <w:rsid w:val="56A9BA23"/>
    <w:rsid w:val="56F8F4E9"/>
    <w:rsid w:val="573D63F4"/>
    <w:rsid w:val="57B0EEE0"/>
    <w:rsid w:val="5852C2F3"/>
    <w:rsid w:val="588CE9F2"/>
    <w:rsid w:val="588E3188"/>
    <w:rsid w:val="58D93455"/>
    <w:rsid w:val="58FAC2AE"/>
    <w:rsid w:val="596042F3"/>
    <w:rsid w:val="5AAD4CB4"/>
    <w:rsid w:val="5AE97121"/>
    <w:rsid w:val="5B2CC965"/>
    <w:rsid w:val="5BA290DE"/>
    <w:rsid w:val="5BC5B378"/>
    <w:rsid w:val="5C10D517"/>
    <w:rsid w:val="5C1552EB"/>
    <w:rsid w:val="5C4C6706"/>
    <w:rsid w:val="5CE4CE85"/>
    <w:rsid w:val="5CF57B93"/>
    <w:rsid w:val="5D10A3BA"/>
    <w:rsid w:val="5D1A540E"/>
    <w:rsid w:val="5D208AB2"/>
    <w:rsid w:val="5DAB4A89"/>
    <w:rsid w:val="5DE4C95D"/>
    <w:rsid w:val="5DEE3BE7"/>
    <w:rsid w:val="5DF9F847"/>
    <w:rsid w:val="5E039E86"/>
    <w:rsid w:val="5F5B222F"/>
    <w:rsid w:val="5FA292A8"/>
    <w:rsid w:val="5FAAC00E"/>
    <w:rsid w:val="60343528"/>
    <w:rsid w:val="604D77C5"/>
    <w:rsid w:val="6057CB8A"/>
    <w:rsid w:val="60AFFA3A"/>
    <w:rsid w:val="60F6F290"/>
    <w:rsid w:val="6185C23C"/>
    <w:rsid w:val="6193A3AD"/>
    <w:rsid w:val="61F39BEB"/>
    <w:rsid w:val="627D0EF4"/>
    <w:rsid w:val="62C93A2B"/>
    <w:rsid w:val="62F17678"/>
    <w:rsid w:val="6394E03C"/>
    <w:rsid w:val="63A09464"/>
    <w:rsid w:val="63E7D381"/>
    <w:rsid w:val="63F9C93A"/>
    <w:rsid w:val="648D46D9"/>
    <w:rsid w:val="64D21628"/>
    <w:rsid w:val="6511AF5F"/>
    <w:rsid w:val="65544CE5"/>
    <w:rsid w:val="66C4DB12"/>
    <w:rsid w:val="67456380"/>
    <w:rsid w:val="676C786A"/>
    <w:rsid w:val="6810239D"/>
    <w:rsid w:val="68E13CB0"/>
    <w:rsid w:val="6934A948"/>
    <w:rsid w:val="695EB2E9"/>
    <w:rsid w:val="6B0475E3"/>
    <w:rsid w:val="6B21A917"/>
    <w:rsid w:val="6B2EF0E5"/>
    <w:rsid w:val="6BFA6D2C"/>
    <w:rsid w:val="6C0FD3FD"/>
    <w:rsid w:val="6C3E1997"/>
    <w:rsid w:val="6CAA2473"/>
    <w:rsid w:val="6DE8274F"/>
    <w:rsid w:val="6DFE0C79"/>
    <w:rsid w:val="6E3E6586"/>
    <w:rsid w:val="6E6F03B1"/>
    <w:rsid w:val="6E9401B5"/>
    <w:rsid w:val="6EF01522"/>
    <w:rsid w:val="6F79337F"/>
    <w:rsid w:val="6FD7E706"/>
    <w:rsid w:val="70509416"/>
    <w:rsid w:val="70AA9416"/>
    <w:rsid w:val="70E7AAAA"/>
    <w:rsid w:val="711503E0"/>
    <w:rsid w:val="7173B767"/>
    <w:rsid w:val="7175367B"/>
    <w:rsid w:val="719746AD"/>
    <w:rsid w:val="7255639A"/>
    <w:rsid w:val="738370AD"/>
    <w:rsid w:val="73AD7D9C"/>
    <w:rsid w:val="73D5CD22"/>
    <w:rsid w:val="7439F84C"/>
    <w:rsid w:val="74C701F0"/>
    <w:rsid w:val="750082AB"/>
    <w:rsid w:val="75719D83"/>
    <w:rsid w:val="7589DF83"/>
    <w:rsid w:val="761B6EF0"/>
    <w:rsid w:val="76E0E88F"/>
    <w:rsid w:val="772BC588"/>
    <w:rsid w:val="779B69C6"/>
    <w:rsid w:val="77D1DBA1"/>
    <w:rsid w:val="79427811"/>
    <w:rsid w:val="79BD0FDA"/>
    <w:rsid w:val="79E1FB25"/>
    <w:rsid w:val="7A0D34C3"/>
    <w:rsid w:val="7A24FAD3"/>
    <w:rsid w:val="7A6F54F8"/>
    <w:rsid w:val="7A7A1CB2"/>
    <w:rsid w:val="7A83E71A"/>
    <w:rsid w:val="7A901173"/>
    <w:rsid w:val="7B17BBB6"/>
    <w:rsid w:val="7BA0912E"/>
    <w:rsid w:val="7C643355"/>
    <w:rsid w:val="7CDBDCC8"/>
    <w:rsid w:val="7CDD8238"/>
    <w:rsid w:val="7D3CC01E"/>
    <w:rsid w:val="7E254D2F"/>
    <w:rsid w:val="7E4F5C78"/>
    <w:rsid w:val="7E8A7661"/>
    <w:rsid w:val="7EA1FF23"/>
    <w:rsid w:val="7EA7FCE1"/>
    <w:rsid w:val="7EBC742B"/>
    <w:rsid w:val="7ED2717B"/>
    <w:rsid w:val="7F5B757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6D001"/>
  <w15:chartTrackingRefBased/>
  <w15:docId w15:val="{B96C5A5C-C967-430E-8C0D-05B449D0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1"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locked="0"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locked="0"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EA0613"/>
    <w:pPr>
      <w:spacing w:line="312" w:lineRule="auto"/>
    </w:pPr>
    <w:rPr>
      <w:sz w:val="24"/>
    </w:rPr>
  </w:style>
  <w:style w:type="paragraph" w:styleId="Heading1">
    <w:name w:val="heading 1"/>
    <w:basedOn w:val="Normal"/>
    <w:next w:val="Normal"/>
    <w:link w:val="Heading1Char"/>
    <w:uiPriority w:val="9"/>
    <w:qFormat/>
    <w:rsid w:val="0018695F"/>
    <w:pPr>
      <w:keepNext/>
      <w:keepLines/>
      <w:pBdr>
        <w:bottom w:val="single" w:sz="4" w:space="1" w:color="FFBF3F" w:themeColor="accent4"/>
      </w:pBdr>
      <w:spacing w:before="360" w:after="240" w:line="276" w:lineRule="auto"/>
      <w:ind w:left="720" w:hanging="720"/>
      <w:outlineLvl w:val="0"/>
    </w:pPr>
    <w:rPr>
      <w:rFonts w:asciiTheme="majorHAnsi" w:eastAsiaTheme="majorEastAsia" w:hAnsiTheme="majorHAnsi" w:cstheme="majorBidi"/>
      <w:color w:val="002F6C" w:themeColor="text1"/>
      <w:sz w:val="32"/>
      <w:szCs w:val="36"/>
    </w:rPr>
  </w:style>
  <w:style w:type="paragraph" w:styleId="Heading2">
    <w:name w:val="heading 2"/>
    <w:basedOn w:val="Normal"/>
    <w:next w:val="Normal"/>
    <w:link w:val="Heading2Char"/>
    <w:uiPriority w:val="9"/>
    <w:qFormat/>
    <w:rsid w:val="0018695F"/>
    <w:pPr>
      <w:keepNext/>
      <w:keepLines/>
      <w:spacing w:before="240" w:line="276" w:lineRule="auto"/>
      <w:ind w:left="720" w:hanging="720"/>
      <w:outlineLvl w:val="1"/>
    </w:pPr>
    <w:rPr>
      <w:rFonts w:asciiTheme="majorHAnsi" w:eastAsiaTheme="majorEastAsia" w:hAnsiTheme="majorHAnsi" w:cstheme="majorBidi"/>
      <w:color w:val="000000" w:themeColor="text2"/>
      <w:sz w:val="28"/>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87B8D"/>
    <w:pPr>
      <w:ind w:left="720"/>
      <w:contextualSpacing/>
    </w:pPr>
  </w:style>
  <w:style w:type="paragraph" w:customStyle="1" w:styleId="squarebullets">
    <w:name w:val="square bullets"/>
    <w:basedOn w:val="ListParagraph"/>
    <w:qFormat/>
    <w:rsid w:val="00B0244B"/>
    <w:pPr>
      <w:numPr>
        <w:numId w:val="14"/>
      </w:numPr>
      <w:spacing w:line="276" w:lineRule="auto"/>
    </w:pPr>
  </w:style>
  <w:style w:type="paragraph" w:customStyle="1" w:styleId="numberedlist">
    <w:name w:val="numbered list"/>
    <w:basedOn w:val="squarebullets"/>
    <w:qFormat/>
    <w:rsid w:val="00F87B8D"/>
    <w:pPr>
      <w:numPr>
        <w:numId w:val="7"/>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18695F"/>
    <w:rPr>
      <w:rFonts w:asciiTheme="majorHAnsi" w:eastAsiaTheme="majorEastAsia" w:hAnsiTheme="majorHAnsi" w:cstheme="majorBidi"/>
      <w:color w:val="002F6C" w:themeColor="text1"/>
      <w:sz w:val="32"/>
      <w:szCs w:val="36"/>
    </w:rPr>
  </w:style>
  <w:style w:type="character" w:customStyle="1" w:styleId="Heading2Char">
    <w:name w:val="Heading 2 Char"/>
    <w:basedOn w:val="DefaultParagraphFont"/>
    <w:link w:val="Heading2"/>
    <w:uiPriority w:val="9"/>
    <w:rsid w:val="0018695F"/>
    <w:rPr>
      <w:rFonts w:asciiTheme="majorHAnsi" w:eastAsiaTheme="majorEastAsia" w:hAnsiTheme="majorHAnsi" w:cstheme="majorBidi"/>
      <w:color w:val="000000" w:themeColor="text2"/>
      <w:sz w:val="28"/>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0244B"/>
    <w:pPr>
      <w:pBdr>
        <w:left w:val="single" w:sz="36" w:space="12" w:color="002F6C" w:themeColor="text1"/>
      </w:pBdr>
      <w:spacing w:before="240" w:after="240" w:line="252" w:lineRule="auto"/>
      <w:ind w:left="340" w:right="862"/>
    </w:pPr>
    <w:rPr>
      <w:iCs/>
    </w:rPr>
  </w:style>
  <w:style w:type="character" w:customStyle="1" w:styleId="QuoteChar">
    <w:name w:val="Quote Char"/>
    <w:basedOn w:val="DefaultParagraphFont"/>
    <w:link w:val="Quote"/>
    <w:uiPriority w:val="29"/>
    <w:rsid w:val="00B0244B"/>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CC10AF"/>
    <w:pPr>
      <w:spacing w:after="0" w:line="240" w:lineRule="auto"/>
      <w:contextualSpacing/>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CC10AF"/>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CC10AF"/>
    <w:pPr>
      <w:numPr>
        <w:ilvl w:val="1"/>
      </w:numPr>
      <w:spacing w:after="160"/>
    </w:pPr>
    <w:rPr>
      <w:color w:val="FFFFFF" w:themeColor="background1"/>
      <w:spacing w:val="15"/>
      <w:sz w:val="22"/>
      <w:szCs w:val="22"/>
    </w:rPr>
  </w:style>
  <w:style w:type="character" w:customStyle="1" w:styleId="SubtitleChar">
    <w:name w:val="Subtitle Char"/>
    <w:basedOn w:val="DefaultParagraphFont"/>
    <w:link w:val="Subtitle"/>
    <w:uiPriority w:val="11"/>
    <w:rsid w:val="00CC10AF"/>
    <w:rPr>
      <w:color w:val="FFFFFF" w:themeColor="background1"/>
      <w:spacing w:val="15"/>
      <w:sz w:val="22"/>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282693"/>
    <w:pPr>
      <w:pBdr>
        <w:bottom w:val="single" w:sz="4" w:space="1" w:color="009CDE" w:themeColor="accent1"/>
      </w:pBdr>
      <w:spacing w:after="240"/>
    </w:pPr>
    <w:rPr>
      <w:color w:val="009CDE" w:themeColor="accen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locked/>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locked/>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82693"/>
    <w:pPr>
      <w:spacing w:after="0" w:line="240" w:lineRule="auto"/>
    </w:pPr>
    <w:tblPr>
      <w:tblStyleRowBandSize w:val="1"/>
      <w:tblStyleColBandSize w:val="1"/>
      <w:tblBorders>
        <w:top w:val="single" w:sz="4" w:space="0" w:color="8BDCFF" w:themeColor="accent1" w:themeTint="66"/>
        <w:left w:val="single" w:sz="4" w:space="0" w:color="8BDCFF" w:themeColor="accent1" w:themeTint="66"/>
        <w:bottom w:val="single" w:sz="4" w:space="0" w:color="8BDCFF" w:themeColor="accent1" w:themeTint="66"/>
        <w:right w:val="single" w:sz="4" w:space="0" w:color="8BDCFF" w:themeColor="accent1" w:themeTint="66"/>
        <w:insideH w:val="single" w:sz="4" w:space="0" w:color="8BDCFF" w:themeColor="accent1" w:themeTint="66"/>
        <w:insideV w:val="single" w:sz="4" w:space="0" w:color="8BDCFF" w:themeColor="accent1" w:themeTint="66"/>
      </w:tblBorders>
      <w:tblCellMar>
        <w:top w:w="57" w:type="dxa"/>
        <w:bottom w:w="57" w:type="dxa"/>
      </w:tblCellMar>
    </w:tblPr>
    <w:tblStylePr w:type="firstRow">
      <w:rPr>
        <w:b/>
        <w:bCs/>
      </w:rPr>
      <w:tblPr/>
      <w:tcPr>
        <w:tcBorders>
          <w:bottom w:val="single" w:sz="12" w:space="0" w:color="52CBFF" w:themeColor="accent1" w:themeTint="99"/>
        </w:tcBorders>
      </w:tcPr>
    </w:tblStylePr>
    <w:tblStylePr w:type="lastRow">
      <w:rPr>
        <w:b/>
        <w:bCs/>
      </w:rPr>
      <w:tblPr/>
      <w:tcPr>
        <w:tcBorders>
          <w:top w:val="double" w:sz="2" w:space="0" w:color="52CBFF" w:themeColor="accent1"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rsid w:val="00282693"/>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character" w:styleId="PlaceholderText">
    <w:name w:val="Placeholder Text"/>
    <w:basedOn w:val="DefaultParagraphFont"/>
    <w:uiPriority w:val="99"/>
    <w:semiHidden/>
    <w:locked/>
    <w:rsid w:val="00B0244B"/>
    <w:rPr>
      <w:color w:val="808080"/>
    </w:rPr>
  </w:style>
  <w:style w:type="character" w:styleId="CommentReference">
    <w:name w:val="annotation reference"/>
    <w:basedOn w:val="DefaultParagraphFont"/>
    <w:uiPriority w:val="99"/>
    <w:semiHidden/>
    <w:unhideWhenUsed/>
    <w:locked/>
    <w:rsid w:val="00B0244B"/>
    <w:rPr>
      <w:sz w:val="16"/>
      <w:szCs w:val="16"/>
    </w:rPr>
  </w:style>
  <w:style w:type="paragraph" w:styleId="CommentText">
    <w:name w:val="annotation text"/>
    <w:basedOn w:val="Normal"/>
    <w:link w:val="CommentTextChar"/>
    <w:uiPriority w:val="99"/>
    <w:unhideWhenUsed/>
    <w:locked/>
    <w:rsid w:val="00B0244B"/>
    <w:pPr>
      <w:spacing w:line="240" w:lineRule="auto"/>
    </w:pPr>
    <w:rPr>
      <w:sz w:val="20"/>
      <w:szCs w:val="20"/>
    </w:rPr>
  </w:style>
  <w:style w:type="character" w:customStyle="1" w:styleId="CommentTextChar">
    <w:name w:val="Comment Text Char"/>
    <w:basedOn w:val="DefaultParagraphFont"/>
    <w:link w:val="CommentText"/>
    <w:uiPriority w:val="99"/>
    <w:rsid w:val="00B0244B"/>
    <w:rPr>
      <w:sz w:val="20"/>
      <w:szCs w:val="20"/>
    </w:rPr>
  </w:style>
  <w:style w:type="paragraph" w:styleId="CommentSubject">
    <w:name w:val="annotation subject"/>
    <w:basedOn w:val="CommentText"/>
    <w:next w:val="CommentText"/>
    <w:link w:val="CommentSubjectChar"/>
    <w:uiPriority w:val="99"/>
    <w:semiHidden/>
    <w:unhideWhenUsed/>
    <w:locked/>
    <w:rsid w:val="00B0244B"/>
    <w:rPr>
      <w:b/>
      <w:bCs/>
    </w:rPr>
  </w:style>
  <w:style w:type="character" w:customStyle="1" w:styleId="CommentSubjectChar">
    <w:name w:val="Comment Subject Char"/>
    <w:basedOn w:val="CommentTextChar"/>
    <w:link w:val="CommentSubject"/>
    <w:uiPriority w:val="99"/>
    <w:semiHidden/>
    <w:rsid w:val="00B0244B"/>
    <w:rPr>
      <w:b/>
      <w:bCs/>
      <w:sz w:val="20"/>
      <w:szCs w:val="20"/>
    </w:rPr>
  </w:style>
  <w:style w:type="paragraph" w:styleId="BalloonText">
    <w:name w:val="Balloon Text"/>
    <w:basedOn w:val="Normal"/>
    <w:link w:val="BalloonTextChar"/>
    <w:uiPriority w:val="99"/>
    <w:semiHidden/>
    <w:unhideWhenUsed/>
    <w:locked/>
    <w:rsid w:val="00B024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44B"/>
    <w:rPr>
      <w:rFonts w:ascii="Segoe UI" w:hAnsi="Segoe UI" w:cs="Segoe UI"/>
      <w:sz w:val="18"/>
      <w:szCs w:val="18"/>
    </w:rPr>
  </w:style>
  <w:style w:type="paragraph" w:customStyle="1" w:styleId="InstructionsPLEASEDELETE">
    <w:name w:val="Instructions PLEASE DELETE"/>
    <w:basedOn w:val="Normal"/>
    <w:qFormat/>
    <w:rsid w:val="000C6E08"/>
    <w:pPr>
      <w:pBdr>
        <w:left w:val="single" w:sz="24" w:space="4" w:color="FF585D" w:themeColor="accent2"/>
      </w:pBdr>
    </w:pPr>
    <w:rPr>
      <w:color w:val="FF585D" w:themeColor="accent2"/>
    </w:rPr>
  </w:style>
  <w:style w:type="paragraph" w:customStyle="1" w:styleId="formfieldtext">
    <w:name w:val="form field text"/>
    <w:basedOn w:val="Normal"/>
    <w:qFormat/>
    <w:rsid w:val="005846F2"/>
  </w:style>
  <w:style w:type="character" w:customStyle="1" w:styleId="boldbluetitle">
    <w:name w:val="bold blue title"/>
    <w:basedOn w:val="DefaultParagraphFont"/>
    <w:uiPriority w:val="1"/>
    <w:qFormat/>
    <w:rsid w:val="00057F1A"/>
    <w:rPr>
      <w:b/>
      <w:color w:val="auto"/>
    </w:rPr>
  </w:style>
  <w:style w:type="paragraph" w:customStyle="1" w:styleId="Indentedtextfornumberedlists">
    <w:name w:val="Indented text for numbered lists"/>
    <w:basedOn w:val="Normal"/>
    <w:qFormat/>
    <w:rsid w:val="0018695F"/>
    <w:pPr>
      <w:ind w:left="720" w:hanging="720"/>
    </w:pPr>
  </w:style>
  <w:style w:type="paragraph" w:styleId="Revision">
    <w:name w:val="Revision"/>
    <w:hidden/>
    <w:uiPriority w:val="99"/>
    <w:semiHidden/>
    <w:rsid w:val="00225130"/>
    <w:pPr>
      <w:spacing w:after="0" w:line="240" w:lineRule="auto"/>
    </w:pPr>
    <w:rPr>
      <w:sz w:val="24"/>
    </w:rPr>
  </w:style>
  <w:style w:type="character" w:styleId="Mention">
    <w:name w:val="Mention"/>
    <w:basedOn w:val="DefaultParagraphFont"/>
    <w:uiPriority w:val="99"/>
    <w:unhideWhenUsed/>
    <w:rsid w:val="000831E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6207">
      <w:bodyDiv w:val="1"/>
      <w:marLeft w:val="0"/>
      <w:marRight w:val="0"/>
      <w:marTop w:val="0"/>
      <w:marBottom w:val="0"/>
      <w:divBdr>
        <w:top w:val="none" w:sz="0" w:space="0" w:color="auto"/>
        <w:left w:val="none" w:sz="0" w:space="0" w:color="auto"/>
        <w:bottom w:val="none" w:sz="0" w:space="0" w:color="auto"/>
        <w:right w:val="none" w:sz="0" w:space="0" w:color="auto"/>
      </w:divBdr>
    </w:div>
    <w:div w:id="490217423">
      <w:bodyDiv w:val="1"/>
      <w:marLeft w:val="0"/>
      <w:marRight w:val="0"/>
      <w:marTop w:val="0"/>
      <w:marBottom w:val="0"/>
      <w:divBdr>
        <w:top w:val="none" w:sz="0" w:space="0" w:color="auto"/>
        <w:left w:val="none" w:sz="0" w:space="0" w:color="auto"/>
        <w:bottom w:val="none" w:sz="0" w:space="0" w:color="auto"/>
        <w:right w:val="none" w:sz="0" w:space="0" w:color="auto"/>
      </w:divBdr>
    </w:div>
    <w:div w:id="856307562">
      <w:bodyDiv w:val="1"/>
      <w:marLeft w:val="0"/>
      <w:marRight w:val="0"/>
      <w:marTop w:val="0"/>
      <w:marBottom w:val="0"/>
      <w:divBdr>
        <w:top w:val="none" w:sz="0" w:space="0" w:color="auto"/>
        <w:left w:val="none" w:sz="0" w:space="0" w:color="auto"/>
        <w:bottom w:val="none" w:sz="0" w:space="0" w:color="auto"/>
        <w:right w:val="none" w:sz="0" w:space="0" w:color="auto"/>
      </w:divBdr>
    </w:div>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 w:id="1512986251">
      <w:bodyDiv w:val="1"/>
      <w:marLeft w:val="0"/>
      <w:marRight w:val="0"/>
      <w:marTop w:val="0"/>
      <w:marBottom w:val="0"/>
      <w:divBdr>
        <w:top w:val="none" w:sz="0" w:space="0" w:color="auto"/>
        <w:left w:val="none" w:sz="0" w:space="0" w:color="auto"/>
        <w:bottom w:val="none" w:sz="0" w:space="0" w:color="auto"/>
        <w:right w:val="none" w:sz="0" w:space="0" w:color="auto"/>
      </w:divBdr>
    </w:div>
    <w:div w:id="1795128042">
      <w:bodyDiv w:val="1"/>
      <w:marLeft w:val="0"/>
      <w:marRight w:val="0"/>
      <w:marTop w:val="0"/>
      <w:marBottom w:val="0"/>
      <w:divBdr>
        <w:top w:val="none" w:sz="0" w:space="0" w:color="auto"/>
        <w:left w:val="none" w:sz="0" w:space="0" w:color="auto"/>
        <w:bottom w:val="none" w:sz="0" w:space="0" w:color="auto"/>
        <w:right w:val="none" w:sz="0" w:space="0" w:color="auto"/>
      </w:divBdr>
    </w:div>
    <w:div w:id="204042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ces183\OneDrive%20-%20Torbay%20Council\Meetings\Templates%20(Master%20copies)\Report%20Formats\Cabinet%20and%20Council%20Decisions%20Report%20Template%20working%20Draft%20Feb%202024.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7d03dd5-e79e-4ca4-bb1b-641307a07905">
      <UserInfo>
        <DisplayName>Antrobus, Lisa</DisplayName>
        <AccountId>17</AccountId>
        <AccountType/>
      </UserInfo>
      <UserInfo>
        <DisplayName>Fairclough-Kay, Matthew</DisplayName>
        <AccountId>511</AccountId>
        <AccountType/>
      </UserInfo>
      <UserInfo>
        <DisplayName>Shears, Kirsty</DisplayName>
        <AccountId>506</AccountId>
        <AccountType/>
      </UserInfo>
      <UserInfo>
        <DisplayName>Reeks, Matt</DisplayName>
        <AccountId>2215</AccountId>
        <AccountType/>
      </UserInfo>
      <UserInfo>
        <DisplayName>Sanders, Rebecca</DisplayName>
        <AccountId>2045</AccountId>
        <AccountType/>
      </UserInfo>
      <UserInfo>
        <DisplayName>Buckley, Teresa</DisplayName>
        <AccountId>14</AccountId>
        <AccountType/>
      </UserInfo>
      <UserInfo>
        <DisplayName>Spencer, Kate</DisplayName>
        <AccountId>21</AccountId>
        <AccountType/>
      </UserInfo>
      <UserInfo>
        <DisplayName>Hawley, Anne</DisplayName>
        <AccountId>2689</AccountId>
        <AccountType/>
      </UserInfo>
      <UserInfo>
        <DisplayName>Hill, Laura</DisplayName>
        <AccountId>3630</AccountId>
        <AccountType/>
      </UserInfo>
      <UserInfo>
        <DisplayName>Gurry, June</DisplayName>
        <AccountId>15</AccountId>
        <AccountType/>
      </UserInfo>
      <UserInfo>
        <DisplayName>Warren, Jacqui</DisplayName>
        <AccountId>979</AccountId>
        <AccountType/>
      </UserInfo>
      <UserInfo>
        <DisplayName>Luscombe, Adam</DisplayName>
        <AccountId>504</AccountId>
        <AccountType/>
      </UserInfo>
      <UserInfo>
        <DisplayName>Edmondson, David</DisplayName>
        <AccountId>450</AccountId>
        <AccountType/>
      </UserInfo>
      <UserInfo>
        <DisplayName>Thompson, Becky</DisplayName>
        <AccountId>2064</AccountId>
        <AccountType/>
      </UserInfo>
      <UserInfo>
        <DisplayName>Willmott, Louise</DisplayName>
        <AccountId>2785</AccountId>
        <AccountType/>
      </UserInfo>
      <UserInfo>
        <DisplayName>Carter, David</DisplayName>
        <AccountId>3823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12" ma:contentTypeDescription="Create a new document." ma:contentTypeScope="" ma:versionID="34f8d362100a8639bbe9aa8605457751">
  <xsd:schema xmlns:xsd="http://www.w3.org/2001/XMLSchema" xmlns:xs="http://www.w3.org/2001/XMLSchema" xmlns:p="http://schemas.microsoft.com/office/2006/metadata/properties" xmlns:ns2="8e239eea-0d7d-49c0-9933-01c9c411b1b2" xmlns:ns3="47d03dd5-e79e-4ca4-bb1b-641307a07905" targetNamespace="http://schemas.microsoft.com/office/2006/metadata/properties" ma:root="true" ma:fieldsID="cb079b088ae109548715597f0fd50186" ns2:_="" ns3:_="">
    <xsd:import namespace="8e239eea-0d7d-49c0-9933-01c9c411b1b2"/>
    <xsd:import namespace="47d03dd5-e79e-4ca4-bb1b-641307a079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39eea-0d7d-49c0-9933-01c9c411b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d03dd5-e79e-4ca4-bb1b-641307a0790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0E155-EFA9-427A-86C6-FC4214E153CC}">
  <ds:schemaRefs>
    <ds:schemaRef ds:uri="http://schemas.microsoft.com/office/2006/metadata/properties"/>
    <ds:schemaRef ds:uri="http://schemas.microsoft.com/office/infopath/2007/PartnerControls"/>
    <ds:schemaRef ds:uri="47d03dd5-e79e-4ca4-bb1b-641307a07905"/>
    <ds:schemaRef ds:uri="8e239eea-0d7d-49c0-9933-01c9c411b1b2"/>
  </ds:schemaRefs>
</ds:datastoreItem>
</file>

<file path=customXml/itemProps2.xml><?xml version="1.0" encoding="utf-8"?>
<ds:datastoreItem xmlns:ds="http://schemas.openxmlformats.org/officeDocument/2006/customXml" ds:itemID="{1AE3C827-6DEB-4270-9A37-B1048B10DA2D}">
  <ds:schemaRefs>
    <ds:schemaRef ds:uri="http://schemas.microsoft.com/sharepoint/v3/contenttype/forms"/>
  </ds:schemaRefs>
</ds:datastoreItem>
</file>

<file path=customXml/itemProps3.xml><?xml version="1.0" encoding="utf-8"?>
<ds:datastoreItem xmlns:ds="http://schemas.openxmlformats.org/officeDocument/2006/customXml" ds:itemID="{385B40A6-CE04-4F6C-A443-208B4308C5EE}"/>
</file>

<file path=customXml/itemProps4.xml><?xml version="1.0" encoding="utf-8"?>
<ds:datastoreItem xmlns:ds="http://schemas.openxmlformats.org/officeDocument/2006/customXml" ds:itemID="{8DD4C682-A66A-4F60-9F7F-FD385D08EDC7}">
  <ds:schemaRefs>
    <ds:schemaRef ds:uri="http://schemas.openxmlformats.org/officeDocument/2006/bibliography"/>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Cabinet and Council Decisions Report Template working Draft Feb 2024</Template>
  <TotalTime>0</TotalTime>
  <Pages>5</Pages>
  <Words>3590</Words>
  <Characters>20468</Characters>
  <Application>Microsoft Office Word</Application>
  <DocSecurity>0</DocSecurity>
  <Lines>170</Lines>
  <Paragraphs>48</Paragraphs>
  <ScaleCrop>false</ScaleCrop>
  <Company>Torbay Council</Company>
  <LinksUpToDate>false</LinksUpToDate>
  <CharactersWithSpaces>24010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Gurry, June</dc:creator>
  <cp:keywords/>
  <dc:description/>
  <cp:lastModifiedBy>Rowswell, Ian</cp:lastModifiedBy>
  <cp:revision>2</cp:revision>
  <dcterms:created xsi:type="dcterms:W3CDTF">2025-02-11T08:41:00Z</dcterms:created>
  <dcterms:modified xsi:type="dcterms:W3CDTF">2025-02-11T08:41:00Z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0x0101008EC9DA24427AA245BF703B9839910EF9</vt:lpwstr>
  </property>
  <property fmtid="{D5CDD505-2E9C-101B-9397-08002B2CF9AE}" pid="3" name="Order">
    <vt:r8>750800</vt:r8>
  </property>
  <property fmtid="{D5CDD505-2E9C-101B-9397-08002B2CF9AE}" pid="4" name="MediaServiceImageTags">
    <vt:lpwstr/>
  </property>
</Properties>
</file>