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581F83" w14:textId="77777777" w:rsidR="00833851" w:rsidRPr="00641D44" w:rsidRDefault="00833851" w:rsidP="00833851">
      <w:pPr>
        <w:rPr>
          <w:rFonts w:ascii="Arial" w:hAnsi="Arial" w:cs="Arial"/>
          <w:b/>
        </w:rPr>
      </w:pPr>
      <w:r w:rsidRPr="00641D44">
        <w:rPr>
          <w:rFonts w:ascii="Arial" w:hAnsi="Arial" w:cs="Arial"/>
          <w:b/>
        </w:rPr>
        <w:t xml:space="preserve">APP/X1165/W/20/3245011: Land </w:t>
      </w:r>
      <w:r w:rsidR="00294F33" w:rsidRPr="00641D44">
        <w:rPr>
          <w:rFonts w:ascii="Arial" w:hAnsi="Arial" w:cs="Arial"/>
          <w:b/>
        </w:rPr>
        <w:t>to</w:t>
      </w:r>
      <w:r w:rsidRPr="00641D44">
        <w:rPr>
          <w:rFonts w:ascii="Arial" w:hAnsi="Arial" w:cs="Arial"/>
          <w:b/>
        </w:rPr>
        <w:t xml:space="preserve"> </w:t>
      </w:r>
      <w:r w:rsidR="00294F33" w:rsidRPr="00641D44">
        <w:rPr>
          <w:rFonts w:ascii="Arial" w:hAnsi="Arial" w:cs="Arial"/>
          <w:b/>
        </w:rPr>
        <w:t>the</w:t>
      </w:r>
      <w:r w:rsidRPr="00641D44">
        <w:rPr>
          <w:rFonts w:ascii="Arial" w:hAnsi="Arial" w:cs="Arial"/>
          <w:b/>
        </w:rPr>
        <w:t xml:space="preserve"> South </w:t>
      </w:r>
      <w:r w:rsidR="00294F33" w:rsidRPr="00641D44">
        <w:rPr>
          <w:rFonts w:ascii="Arial" w:hAnsi="Arial" w:cs="Arial"/>
          <w:b/>
        </w:rPr>
        <w:t>of</w:t>
      </w:r>
      <w:r w:rsidRPr="00641D44">
        <w:rPr>
          <w:rFonts w:ascii="Arial" w:hAnsi="Arial" w:cs="Arial"/>
          <w:b/>
        </w:rPr>
        <w:t xml:space="preserve"> White Rock Adjacent To Brixham Road Aka Inglewood Paignton, TQ4 7BQ (LPA Reference P/2017/1133).</w:t>
      </w:r>
    </w:p>
    <w:p w14:paraId="6CBDB4E9" w14:textId="77777777" w:rsidR="00BD5F53" w:rsidRPr="00641D44" w:rsidRDefault="00BD5F53" w:rsidP="00833851">
      <w:pPr>
        <w:ind w:firstLine="720"/>
        <w:rPr>
          <w:rFonts w:ascii="Arial" w:hAnsi="Arial" w:cs="Arial"/>
          <w:b/>
        </w:rPr>
      </w:pPr>
    </w:p>
    <w:p w14:paraId="44D2440F" w14:textId="77777777" w:rsidR="00BD5F53" w:rsidRPr="00641D44" w:rsidRDefault="00BD5F53" w:rsidP="00BD5F53">
      <w:pPr>
        <w:jc w:val="center"/>
        <w:rPr>
          <w:rFonts w:ascii="Arial" w:hAnsi="Arial" w:cs="Arial"/>
          <w:b/>
          <w:sz w:val="32"/>
          <w:szCs w:val="32"/>
        </w:rPr>
      </w:pPr>
      <w:r w:rsidRPr="00641D44">
        <w:rPr>
          <w:rFonts w:ascii="Arial" w:hAnsi="Arial" w:cs="Arial"/>
          <w:b/>
          <w:sz w:val="32"/>
          <w:szCs w:val="32"/>
        </w:rPr>
        <w:t>TORBAY COUNCIL</w:t>
      </w:r>
    </w:p>
    <w:p w14:paraId="5189BF33" w14:textId="77777777" w:rsidR="00BD5F53" w:rsidRPr="00641D44" w:rsidRDefault="00BD5F53" w:rsidP="00BD5F53">
      <w:pPr>
        <w:jc w:val="center"/>
        <w:rPr>
          <w:rFonts w:ascii="Arial" w:hAnsi="Arial" w:cs="Arial"/>
          <w:b/>
          <w:sz w:val="28"/>
          <w:szCs w:val="28"/>
        </w:rPr>
      </w:pPr>
    </w:p>
    <w:p w14:paraId="2C78F9DF" w14:textId="77777777" w:rsidR="00BD5F53" w:rsidRPr="00641D44" w:rsidRDefault="00BD5F53" w:rsidP="00BD5F53">
      <w:pPr>
        <w:jc w:val="center"/>
        <w:rPr>
          <w:rFonts w:ascii="Arial" w:hAnsi="Arial" w:cs="Arial"/>
          <w:b/>
          <w:sz w:val="28"/>
          <w:szCs w:val="28"/>
        </w:rPr>
      </w:pPr>
      <w:r w:rsidRPr="00641D44">
        <w:rPr>
          <w:rFonts w:ascii="Arial" w:hAnsi="Arial" w:cs="Arial"/>
          <w:b/>
          <w:sz w:val="28"/>
          <w:szCs w:val="28"/>
        </w:rPr>
        <w:t>TOWN AND COUNTRY PLANNING ACT 1990</w:t>
      </w:r>
    </w:p>
    <w:p w14:paraId="38169A88" w14:textId="77777777" w:rsidR="00BD5F53" w:rsidRPr="00641D44" w:rsidRDefault="00BD5F53" w:rsidP="00BD5F53">
      <w:pPr>
        <w:rPr>
          <w:rFonts w:ascii="Arial" w:hAnsi="Arial" w:cs="Arial"/>
          <w:b/>
        </w:rPr>
      </w:pPr>
    </w:p>
    <w:p w14:paraId="563327ED" w14:textId="77777777" w:rsidR="00BD5F53" w:rsidRPr="00641D44" w:rsidRDefault="00BD5F53" w:rsidP="00BD5F53">
      <w:pPr>
        <w:rPr>
          <w:rFonts w:ascii="Arial" w:hAnsi="Arial" w:cs="Arial"/>
          <w:b/>
        </w:rPr>
      </w:pPr>
      <w:r w:rsidRPr="00641D44">
        <w:rPr>
          <w:rFonts w:ascii="Arial" w:hAnsi="Arial" w:cs="Arial"/>
          <w:b/>
        </w:rPr>
        <w:t xml:space="preserve">Appeal by </w:t>
      </w:r>
      <w:r w:rsidR="00D4713A" w:rsidRPr="00641D44">
        <w:rPr>
          <w:rFonts w:ascii="Arial" w:hAnsi="Arial" w:cs="Arial"/>
        </w:rPr>
        <w:t>Abacus Projects Limited and Deeley Freed Estates Limited</w:t>
      </w:r>
    </w:p>
    <w:p w14:paraId="038F84BF" w14:textId="77777777" w:rsidR="00BD5F53" w:rsidRPr="00641D44" w:rsidRDefault="00BD5F53" w:rsidP="00BD5F53">
      <w:pPr>
        <w:rPr>
          <w:rFonts w:ascii="Arial" w:hAnsi="Arial" w:cs="Arial"/>
          <w:b/>
        </w:rPr>
      </w:pPr>
    </w:p>
    <w:p w14:paraId="33E4381A" w14:textId="77777777" w:rsidR="008F0681" w:rsidRPr="00641D44" w:rsidRDefault="003A1D29" w:rsidP="008F0681">
      <w:pPr>
        <w:ind w:left="720" w:hanging="720"/>
        <w:rPr>
          <w:rFonts w:ascii="Arial" w:hAnsi="Arial" w:cs="Arial"/>
        </w:rPr>
      </w:pPr>
      <w:r w:rsidRPr="00641D44">
        <w:rPr>
          <w:rFonts w:ascii="Arial" w:hAnsi="Arial" w:cs="Arial"/>
          <w:b/>
        </w:rPr>
        <w:t xml:space="preserve">Proposal </w:t>
      </w:r>
      <w:r w:rsidR="00BD5F53" w:rsidRPr="00641D44">
        <w:rPr>
          <w:rFonts w:ascii="Arial" w:hAnsi="Arial" w:cs="Arial"/>
          <w:b/>
        </w:rPr>
        <w:t xml:space="preserve"> </w:t>
      </w:r>
      <w:r w:rsidR="008F0681" w:rsidRPr="00641D44">
        <w:rPr>
          <w:rFonts w:ascii="Arial" w:hAnsi="Arial" w:cs="Arial"/>
          <w:i/>
        </w:rPr>
        <w:t>“Outline application for residential led development of up to 373 dwellings (C3) together with the means of vehicular and pedestrian/cycle access together with the principle of a public house (A3/A4 use), primary school with nursery (D1), internal access roads and the provision of public open space (formal and informal) and strategic mitigation. Details of access to be determined with all other matters reserved.”</w:t>
      </w:r>
    </w:p>
    <w:p w14:paraId="5549176F" w14:textId="77777777" w:rsidR="00BD5F53" w:rsidRPr="00641D44" w:rsidRDefault="003A1D29" w:rsidP="00BD5F53">
      <w:pPr>
        <w:rPr>
          <w:rFonts w:ascii="Arial" w:hAnsi="Arial" w:cs="Arial"/>
          <w:b/>
        </w:rPr>
      </w:pPr>
      <w:r w:rsidRPr="00641D44">
        <w:rPr>
          <w:rFonts w:ascii="Arial" w:hAnsi="Arial" w:cs="Arial"/>
          <w:b/>
        </w:rPr>
        <w:t>Site at Land to the South of White Rock Adjacent To Brixham Road Aka Inglewood Paignton, TQ4 7BQ</w:t>
      </w:r>
    </w:p>
    <w:p w14:paraId="7014DCEE" w14:textId="77777777" w:rsidR="00BD5F53" w:rsidRPr="00641D44" w:rsidRDefault="00BD5F53" w:rsidP="00BD5F53">
      <w:pPr>
        <w:rPr>
          <w:rFonts w:ascii="Arial" w:hAnsi="Arial" w:cs="Arial"/>
          <w:b/>
        </w:rPr>
      </w:pPr>
    </w:p>
    <w:p w14:paraId="6B6C8DF8" w14:textId="77777777" w:rsidR="00BD5F53" w:rsidRPr="00641D44" w:rsidRDefault="00BD5F53" w:rsidP="00BD5F53">
      <w:pPr>
        <w:rPr>
          <w:rFonts w:ascii="Arial" w:hAnsi="Arial" w:cs="Arial"/>
          <w:b/>
        </w:rPr>
      </w:pPr>
      <w:r w:rsidRPr="00641D44">
        <w:rPr>
          <w:rFonts w:ascii="Arial" w:hAnsi="Arial" w:cs="Arial"/>
          <w:b/>
        </w:rPr>
        <w:t>Planning Inspectorate ref.:</w:t>
      </w:r>
      <w:r w:rsidR="003A1D29" w:rsidRPr="00641D44">
        <w:rPr>
          <w:rFonts w:ascii="Arial" w:hAnsi="Arial" w:cs="Arial"/>
          <w:b/>
        </w:rPr>
        <w:t xml:space="preserve"> APP/X1165/W/20/3245011</w:t>
      </w:r>
    </w:p>
    <w:p w14:paraId="3E8F5882" w14:textId="77777777" w:rsidR="00BD5F53" w:rsidRPr="00641D44" w:rsidRDefault="00BD5F53" w:rsidP="00BD5F53">
      <w:pPr>
        <w:rPr>
          <w:rFonts w:ascii="Arial" w:hAnsi="Arial" w:cs="Arial"/>
          <w:b/>
        </w:rPr>
      </w:pPr>
    </w:p>
    <w:p w14:paraId="1C433EFB" w14:textId="77777777" w:rsidR="00BD5F53" w:rsidRPr="00641D44" w:rsidRDefault="00BD5F53" w:rsidP="00BD5F53">
      <w:pPr>
        <w:rPr>
          <w:rFonts w:ascii="Arial" w:hAnsi="Arial" w:cs="Arial"/>
          <w:b/>
        </w:rPr>
      </w:pPr>
      <w:r w:rsidRPr="00641D44">
        <w:rPr>
          <w:rFonts w:ascii="Arial" w:hAnsi="Arial" w:cs="Arial"/>
          <w:b/>
        </w:rPr>
        <w:t xml:space="preserve">Local Planning Authority ref.: </w:t>
      </w:r>
      <w:r w:rsidR="00D4713A" w:rsidRPr="00641D44">
        <w:rPr>
          <w:rFonts w:ascii="Arial" w:hAnsi="Arial" w:cs="Arial"/>
        </w:rPr>
        <w:t>P/2017/1133</w:t>
      </w:r>
    </w:p>
    <w:p w14:paraId="5AD3EF29" w14:textId="77777777" w:rsidR="00BD5F53" w:rsidRPr="00641D44" w:rsidRDefault="00BD5F53" w:rsidP="00BD5F53">
      <w:pPr>
        <w:rPr>
          <w:rFonts w:ascii="Arial" w:hAnsi="Arial" w:cs="Arial"/>
          <w:b/>
        </w:rPr>
      </w:pPr>
    </w:p>
    <w:p w14:paraId="0F8AD8C8" w14:textId="77777777" w:rsidR="00BD5F53" w:rsidRPr="00641D44" w:rsidRDefault="00BD5F53" w:rsidP="00BD5F53">
      <w:pPr>
        <w:jc w:val="center"/>
        <w:rPr>
          <w:rFonts w:ascii="Arial" w:hAnsi="Arial" w:cs="Arial"/>
          <w:b/>
          <w:sz w:val="32"/>
          <w:szCs w:val="32"/>
        </w:rPr>
      </w:pPr>
      <w:r w:rsidRPr="00641D44">
        <w:rPr>
          <w:rFonts w:ascii="Arial" w:hAnsi="Arial" w:cs="Arial"/>
          <w:b/>
          <w:sz w:val="32"/>
          <w:szCs w:val="32"/>
        </w:rPr>
        <w:t>PROOF OF EVIDENCE</w:t>
      </w:r>
    </w:p>
    <w:p w14:paraId="5CAB1ED0" w14:textId="77777777" w:rsidR="00BD5F53" w:rsidRPr="00641D44" w:rsidRDefault="00BD5F53" w:rsidP="00BD5F53">
      <w:pPr>
        <w:jc w:val="center"/>
        <w:rPr>
          <w:rFonts w:ascii="Arial" w:hAnsi="Arial" w:cs="Arial"/>
        </w:rPr>
      </w:pPr>
      <w:r w:rsidRPr="00641D44">
        <w:rPr>
          <w:rFonts w:ascii="Arial" w:hAnsi="Arial" w:cs="Arial"/>
          <w:b/>
        </w:rPr>
        <w:t xml:space="preserve">David Pickhaver </w:t>
      </w:r>
      <w:proofErr w:type="gramStart"/>
      <w:r w:rsidRPr="00641D44">
        <w:rPr>
          <w:rFonts w:ascii="Arial" w:hAnsi="Arial" w:cs="Arial"/>
          <w:b/>
        </w:rPr>
        <w:t>BA(</w:t>
      </w:r>
      <w:proofErr w:type="gramEnd"/>
      <w:r w:rsidR="000B088A" w:rsidRPr="00641D44">
        <w:rPr>
          <w:rFonts w:ascii="Arial" w:hAnsi="Arial" w:cs="Arial"/>
          <w:b/>
        </w:rPr>
        <w:t>H</w:t>
      </w:r>
      <w:r w:rsidRPr="00641D44">
        <w:rPr>
          <w:rFonts w:ascii="Arial" w:hAnsi="Arial" w:cs="Arial"/>
          <w:b/>
        </w:rPr>
        <w:t>ons), MA, MRTPI</w:t>
      </w:r>
    </w:p>
    <w:p w14:paraId="2BC9E735" w14:textId="77777777" w:rsidR="00BD5F53" w:rsidRPr="00641D44" w:rsidRDefault="00BD5F53" w:rsidP="00BD5F53">
      <w:pPr>
        <w:jc w:val="both"/>
        <w:rPr>
          <w:rFonts w:ascii="Arial" w:hAnsi="Arial" w:cs="Arial"/>
        </w:rPr>
      </w:pPr>
    </w:p>
    <w:p w14:paraId="7BB7A754" w14:textId="77777777" w:rsidR="00BD5F53" w:rsidRPr="00641D44" w:rsidRDefault="00BD5F53" w:rsidP="00BD5F53">
      <w:pPr>
        <w:jc w:val="both"/>
        <w:rPr>
          <w:rFonts w:ascii="Arial" w:hAnsi="Arial" w:cs="Arial"/>
          <w:b/>
        </w:rPr>
      </w:pPr>
      <w:r w:rsidRPr="00641D44">
        <w:rPr>
          <w:rFonts w:ascii="Arial" w:hAnsi="Arial" w:cs="Arial"/>
          <w:b/>
        </w:rPr>
        <w:t>1.0</w:t>
      </w:r>
      <w:r w:rsidRPr="00641D44">
        <w:rPr>
          <w:rFonts w:ascii="Arial" w:hAnsi="Arial" w:cs="Arial"/>
          <w:b/>
        </w:rPr>
        <w:tab/>
      </w:r>
      <w:r w:rsidR="00060F94" w:rsidRPr="00641D44">
        <w:rPr>
          <w:rFonts w:ascii="Arial" w:hAnsi="Arial" w:cs="Arial"/>
          <w:b/>
        </w:rPr>
        <w:t xml:space="preserve">Preamble </w:t>
      </w:r>
    </w:p>
    <w:p w14:paraId="4F9B41DE" w14:textId="77777777" w:rsidR="00BD5F53" w:rsidRPr="00641D44" w:rsidRDefault="00BD5F53" w:rsidP="00BD5F53">
      <w:pPr>
        <w:jc w:val="both"/>
        <w:rPr>
          <w:rFonts w:ascii="Arial" w:hAnsi="Arial" w:cs="Arial"/>
        </w:rPr>
      </w:pPr>
    </w:p>
    <w:p w14:paraId="123AC156" w14:textId="77777777" w:rsidR="00060F94" w:rsidRPr="00641D44" w:rsidRDefault="00BD5F53" w:rsidP="00D4713A">
      <w:pPr>
        <w:pStyle w:val="ListParagraph"/>
        <w:numPr>
          <w:ilvl w:val="1"/>
          <w:numId w:val="26"/>
        </w:numPr>
        <w:spacing w:line="360" w:lineRule="auto"/>
        <w:jc w:val="both"/>
        <w:rPr>
          <w:rFonts w:ascii="Arial" w:hAnsi="Arial" w:cs="Arial"/>
        </w:rPr>
      </w:pPr>
      <w:r w:rsidRPr="00641D44">
        <w:rPr>
          <w:rFonts w:ascii="Arial" w:hAnsi="Arial" w:cs="Arial"/>
        </w:rPr>
        <w:t>I am David Pickhaver, a Senior Planning Officer working within the Strategic Planning Team in the Strategic Planning and Implementation Group of Torbay Council.</w:t>
      </w:r>
      <w:r w:rsidR="00060F94" w:rsidRPr="00641D44">
        <w:rPr>
          <w:rFonts w:ascii="Arial" w:hAnsi="Arial" w:cs="Arial"/>
        </w:rPr>
        <w:t xml:space="preserve">  </w:t>
      </w:r>
      <w:r w:rsidRPr="00641D44">
        <w:rPr>
          <w:rFonts w:ascii="Arial" w:hAnsi="Arial" w:cs="Arial"/>
        </w:rPr>
        <w:t>I have a BA (</w:t>
      </w:r>
      <w:r w:rsidR="000B088A" w:rsidRPr="00641D44">
        <w:rPr>
          <w:rFonts w:ascii="Arial" w:hAnsi="Arial" w:cs="Arial"/>
        </w:rPr>
        <w:t>H</w:t>
      </w:r>
      <w:r w:rsidRPr="00641D44">
        <w:rPr>
          <w:rFonts w:ascii="Arial" w:hAnsi="Arial" w:cs="Arial"/>
        </w:rPr>
        <w:t>ons)</w:t>
      </w:r>
      <w:r w:rsidR="00861BEE" w:rsidRPr="00641D44">
        <w:rPr>
          <w:rFonts w:ascii="Arial" w:hAnsi="Arial" w:cs="Arial"/>
        </w:rPr>
        <w:t xml:space="preserve"> in Development Economics and an MA (Prize) </w:t>
      </w:r>
      <w:r w:rsidRPr="00641D44">
        <w:rPr>
          <w:rFonts w:ascii="Arial" w:hAnsi="Arial" w:cs="Arial"/>
        </w:rPr>
        <w:t xml:space="preserve">in Town and Country Planning and have been a Member of the Royal Town Planning Institute since 1995.  I have </w:t>
      </w:r>
      <w:r w:rsidR="00060F94" w:rsidRPr="00641D44">
        <w:rPr>
          <w:rFonts w:ascii="Arial" w:hAnsi="Arial" w:cs="Arial"/>
        </w:rPr>
        <w:t>3</w:t>
      </w:r>
      <w:r w:rsidR="00024F44" w:rsidRPr="00641D44">
        <w:rPr>
          <w:rFonts w:ascii="Arial" w:hAnsi="Arial" w:cs="Arial"/>
        </w:rPr>
        <w:t>3</w:t>
      </w:r>
      <w:r w:rsidRPr="00641D44">
        <w:rPr>
          <w:rFonts w:ascii="Arial" w:hAnsi="Arial" w:cs="Arial"/>
        </w:rPr>
        <w:t xml:space="preserve"> years' experience in </w:t>
      </w:r>
      <w:r w:rsidR="000B088A" w:rsidRPr="00641D44">
        <w:rPr>
          <w:rFonts w:ascii="Arial" w:hAnsi="Arial" w:cs="Arial"/>
        </w:rPr>
        <w:t>p</w:t>
      </w:r>
      <w:r w:rsidRPr="00641D44">
        <w:rPr>
          <w:rFonts w:ascii="Arial" w:hAnsi="Arial" w:cs="Arial"/>
        </w:rPr>
        <w:t>lanning</w:t>
      </w:r>
      <w:r w:rsidR="00060F94" w:rsidRPr="00641D44">
        <w:rPr>
          <w:rFonts w:ascii="Arial" w:hAnsi="Arial" w:cs="Arial"/>
        </w:rPr>
        <w:t xml:space="preserve"> in both development management and planning policy.</w:t>
      </w:r>
    </w:p>
    <w:p w14:paraId="7317B1FE" w14:textId="77777777" w:rsidR="00060F94" w:rsidRPr="00641D44" w:rsidRDefault="00060F94" w:rsidP="00D4713A">
      <w:pPr>
        <w:pStyle w:val="ListParagraph"/>
        <w:spacing w:line="360" w:lineRule="auto"/>
        <w:jc w:val="both"/>
        <w:rPr>
          <w:rFonts w:ascii="Arial" w:hAnsi="Arial" w:cs="Arial"/>
        </w:rPr>
      </w:pPr>
    </w:p>
    <w:p w14:paraId="6F144E7D" w14:textId="544FE386" w:rsidR="00F064FD" w:rsidRPr="00641D44" w:rsidRDefault="00060F94" w:rsidP="00C459BD">
      <w:pPr>
        <w:pStyle w:val="ListParagraph"/>
        <w:numPr>
          <w:ilvl w:val="1"/>
          <w:numId w:val="26"/>
        </w:numPr>
        <w:spacing w:line="360" w:lineRule="auto"/>
        <w:jc w:val="both"/>
        <w:rPr>
          <w:rFonts w:ascii="Arial" w:hAnsi="Arial" w:cs="Arial"/>
        </w:rPr>
      </w:pPr>
      <w:r w:rsidRPr="00641D44">
        <w:rPr>
          <w:rFonts w:ascii="Arial" w:hAnsi="Arial" w:cs="Arial"/>
        </w:rPr>
        <w:lastRenderedPageBreak/>
        <w:t xml:space="preserve">I have a longstanding knowledge of the appeal site.  I was programme officer for the 1997 Call in Public Inquiry.  I was subsequently involved with the Torbay Local Plans 1995-2011 and 2012-30, both of which considered the site and its environs.  </w:t>
      </w:r>
      <w:r w:rsidR="00F064FD" w:rsidRPr="00641D44">
        <w:rPr>
          <w:rFonts w:ascii="Arial" w:hAnsi="Arial" w:cs="Arial"/>
        </w:rPr>
        <w:t>I became the third case officer for the Inglewood application in mid</w:t>
      </w:r>
      <w:r w:rsidR="000B088A" w:rsidRPr="00641D44">
        <w:rPr>
          <w:rFonts w:ascii="Arial" w:hAnsi="Arial" w:cs="Arial"/>
        </w:rPr>
        <w:t>-</w:t>
      </w:r>
      <w:r w:rsidR="00F064FD" w:rsidRPr="00641D44">
        <w:rPr>
          <w:rFonts w:ascii="Arial" w:hAnsi="Arial" w:cs="Arial"/>
        </w:rPr>
        <w:t xml:space="preserve">2018 following staff departures in the Spatial Planning Department, and </w:t>
      </w:r>
      <w:r w:rsidR="000B088A" w:rsidRPr="00641D44">
        <w:rPr>
          <w:rFonts w:ascii="Arial" w:hAnsi="Arial" w:cs="Arial"/>
        </w:rPr>
        <w:t xml:space="preserve">a </w:t>
      </w:r>
      <w:r w:rsidR="00F064FD" w:rsidRPr="00641D44">
        <w:rPr>
          <w:rFonts w:ascii="Arial" w:hAnsi="Arial" w:cs="Arial"/>
        </w:rPr>
        <w:t>considerable hiatus in the manageme</w:t>
      </w:r>
      <w:r w:rsidR="00D4713A" w:rsidRPr="00641D44">
        <w:rPr>
          <w:rFonts w:ascii="Arial" w:hAnsi="Arial" w:cs="Arial"/>
        </w:rPr>
        <w:t xml:space="preserve">nt level of spatial planning. </w:t>
      </w:r>
    </w:p>
    <w:p w14:paraId="7913FCEE" w14:textId="77777777" w:rsidR="00F064FD" w:rsidRPr="00641D44" w:rsidRDefault="00F064FD" w:rsidP="00D4713A">
      <w:pPr>
        <w:pStyle w:val="ListParagraph"/>
        <w:spacing w:line="360" w:lineRule="auto"/>
        <w:jc w:val="both"/>
        <w:rPr>
          <w:rFonts w:ascii="Arial" w:hAnsi="Arial" w:cs="Arial"/>
        </w:rPr>
      </w:pPr>
      <w:bookmarkStart w:id="0" w:name="_GoBack"/>
      <w:bookmarkEnd w:id="0"/>
    </w:p>
    <w:p w14:paraId="0EDB297B" w14:textId="5BBB09E6" w:rsidR="00D4713A" w:rsidRPr="00641D44" w:rsidRDefault="00F064FD" w:rsidP="00D4713A">
      <w:pPr>
        <w:pStyle w:val="ListParagraph"/>
        <w:numPr>
          <w:ilvl w:val="1"/>
          <w:numId w:val="26"/>
        </w:numPr>
        <w:spacing w:line="360" w:lineRule="auto"/>
        <w:jc w:val="both"/>
        <w:rPr>
          <w:rFonts w:ascii="Arial" w:hAnsi="Arial" w:cs="Arial"/>
        </w:rPr>
      </w:pPr>
      <w:r w:rsidRPr="00641D44">
        <w:rPr>
          <w:rFonts w:ascii="Arial" w:hAnsi="Arial" w:cs="Arial"/>
        </w:rPr>
        <w:t>My professional view has always been th</w:t>
      </w:r>
      <w:r w:rsidR="00EC12DC" w:rsidRPr="00641D44">
        <w:rPr>
          <w:rFonts w:ascii="Arial" w:hAnsi="Arial" w:cs="Arial"/>
        </w:rPr>
        <w:t>at an application of this scale</w:t>
      </w:r>
      <w:r w:rsidRPr="00641D44">
        <w:rPr>
          <w:rFonts w:ascii="Arial" w:hAnsi="Arial" w:cs="Arial"/>
        </w:rPr>
        <w:t xml:space="preserve">, nature and impact should be </w:t>
      </w:r>
      <w:r w:rsidR="00A741E9" w:rsidRPr="00641D44">
        <w:rPr>
          <w:rFonts w:ascii="Arial" w:hAnsi="Arial" w:cs="Arial"/>
        </w:rPr>
        <w:t>brought forward</w:t>
      </w:r>
      <w:r w:rsidRPr="00641D44">
        <w:rPr>
          <w:rFonts w:ascii="Arial" w:hAnsi="Arial" w:cs="Arial"/>
        </w:rPr>
        <w:t xml:space="preserve"> through the plan making and not the decision taking stage.  This would have allowed a full consideration of all relevant factors and alternative options and sites. </w:t>
      </w:r>
      <w:r w:rsidR="001322D8" w:rsidRPr="00641D44">
        <w:rPr>
          <w:rFonts w:ascii="Arial" w:hAnsi="Arial" w:cs="Arial"/>
        </w:rPr>
        <w:t xml:space="preserve"> It would have also allowed a wider strategic review of land formerly designated as AGLV.  </w:t>
      </w:r>
      <w:r w:rsidR="009E26C1" w:rsidRPr="00641D44">
        <w:rPr>
          <w:rFonts w:ascii="Arial" w:hAnsi="Arial" w:cs="Arial"/>
        </w:rPr>
        <w:t xml:space="preserve"> </w:t>
      </w:r>
      <w:r w:rsidR="000B088A" w:rsidRPr="00641D44">
        <w:rPr>
          <w:rFonts w:ascii="Arial" w:hAnsi="Arial" w:cs="Arial"/>
        </w:rPr>
        <w:t>However,</w:t>
      </w:r>
      <w:r w:rsidRPr="00641D44">
        <w:rPr>
          <w:rFonts w:ascii="Arial" w:hAnsi="Arial" w:cs="Arial"/>
        </w:rPr>
        <w:t xml:space="preserve"> I respect that the appellants have gone to considerable expense and are entitled to seek a resolution </w:t>
      </w:r>
      <w:r w:rsidR="000B088A" w:rsidRPr="00641D44">
        <w:rPr>
          <w:rFonts w:ascii="Arial" w:hAnsi="Arial" w:cs="Arial"/>
        </w:rPr>
        <w:t>of their</w:t>
      </w:r>
      <w:r w:rsidRPr="00641D44">
        <w:rPr>
          <w:rFonts w:ascii="Arial" w:hAnsi="Arial" w:cs="Arial"/>
        </w:rPr>
        <w:t xml:space="preserve"> application through appeal. </w:t>
      </w:r>
      <w:r w:rsidR="001322D8" w:rsidRPr="00641D44">
        <w:rPr>
          <w:rFonts w:ascii="Arial" w:hAnsi="Arial" w:cs="Arial"/>
        </w:rPr>
        <w:t xml:space="preserve"> </w:t>
      </w:r>
      <w:r w:rsidR="000B088A" w:rsidRPr="00641D44">
        <w:rPr>
          <w:rFonts w:ascii="Arial" w:hAnsi="Arial" w:cs="Arial"/>
        </w:rPr>
        <w:t>W</w:t>
      </w:r>
      <w:r w:rsidRPr="00641D44">
        <w:rPr>
          <w:rFonts w:ascii="Arial" w:hAnsi="Arial" w:cs="Arial"/>
        </w:rPr>
        <w:t xml:space="preserve">hilst </w:t>
      </w:r>
      <w:r w:rsidR="00D4713A" w:rsidRPr="00641D44">
        <w:rPr>
          <w:rFonts w:ascii="Arial" w:hAnsi="Arial" w:cs="Arial"/>
        </w:rPr>
        <w:t xml:space="preserve">acknowledging </w:t>
      </w:r>
      <w:r w:rsidRPr="00641D44">
        <w:rPr>
          <w:rFonts w:ascii="Arial" w:hAnsi="Arial" w:cs="Arial"/>
        </w:rPr>
        <w:t>the benefits of the proposal</w:t>
      </w:r>
      <w:r w:rsidR="00E970E0" w:rsidRPr="00641D44">
        <w:rPr>
          <w:rFonts w:ascii="Arial" w:hAnsi="Arial" w:cs="Arial"/>
        </w:rPr>
        <w:t xml:space="preserve">, I have concluded that the harmful impacts of the proposal significantly and demonstrably outweigh the benefits.  </w:t>
      </w:r>
      <w:r w:rsidR="003A1D29" w:rsidRPr="00641D44">
        <w:rPr>
          <w:rFonts w:ascii="Arial" w:hAnsi="Arial" w:cs="Arial"/>
        </w:rPr>
        <w:t>These arise from the degree of conflict with the development plan, particularly the Brixham Peninsula Neighbourhood Plan; and the landscape i</w:t>
      </w:r>
      <w:r w:rsidR="00024F44" w:rsidRPr="00641D44">
        <w:rPr>
          <w:rFonts w:ascii="Arial" w:hAnsi="Arial" w:cs="Arial"/>
        </w:rPr>
        <w:t>m</w:t>
      </w:r>
      <w:r w:rsidR="003A1D29" w:rsidRPr="00641D44">
        <w:rPr>
          <w:rFonts w:ascii="Arial" w:hAnsi="Arial" w:cs="Arial"/>
        </w:rPr>
        <w:t>pact of the proposal in the setting of the South Devon AONB</w:t>
      </w:r>
      <w:r w:rsidR="0052770B" w:rsidRPr="00641D44">
        <w:rPr>
          <w:rFonts w:ascii="Arial" w:hAnsi="Arial" w:cs="Arial"/>
        </w:rPr>
        <w:t>, which would thereby have an adverse impact on the AONB.</w:t>
      </w:r>
      <w:r w:rsidR="003A1D29" w:rsidRPr="00641D44">
        <w:rPr>
          <w:rFonts w:ascii="Arial" w:hAnsi="Arial" w:cs="Arial"/>
        </w:rPr>
        <w:t xml:space="preserve"> </w:t>
      </w:r>
      <w:r w:rsidR="00024F44" w:rsidRPr="00641D44">
        <w:rPr>
          <w:rFonts w:ascii="Arial" w:hAnsi="Arial" w:cs="Arial"/>
        </w:rPr>
        <w:t xml:space="preserve"> In my assessment, the landscape impacts of the proposal mean that it fails irrespective of whether the tilted balance at paragraph 11 (d</w:t>
      </w:r>
      <w:proofErr w:type="gramStart"/>
      <w:r w:rsidR="00024F44" w:rsidRPr="00641D44">
        <w:rPr>
          <w:rFonts w:ascii="Arial" w:hAnsi="Arial" w:cs="Arial"/>
        </w:rPr>
        <w:t>)ii</w:t>
      </w:r>
      <w:proofErr w:type="gramEnd"/>
      <w:r w:rsidR="00024F44" w:rsidRPr="00641D44">
        <w:rPr>
          <w:rFonts w:ascii="Arial" w:hAnsi="Arial" w:cs="Arial"/>
        </w:rPr>
        <w:t xml:space="preserve"> of the NPPF is considered to have been activated. </w:t>
      </w:r>
      <w:r w:rsidR="00941574" w:rsidRPr="00641D44">
        <w:rPr>
          <w:rFonts w:ascii="Arial" w:hAnsi="Arial" w:cs="Arial"/>
        </w:rPr>
        <w:t xml:space="preserve"> The landscape harm is also a</w:t>
      </w:r>
      <w:r w:rsidR="00831102" w:rsidRPr="00641D44">
        <w:rPr>
          <w:rFonts w:ascii="Arial" w:hAnsi="Arial" w:cs="Arial"/>
        </w:rPr>
        <w:t xml:space="preserve"> negative</w:t>
      </w:r>
      <w:r w:rsidR="00941574" w:rsidRPr="00641D44">
        <w:rPr>
          <w:rFonts w:ascii="Arial" w:hAnsi="Arial" w:cs="Arial"/>
        </w:rPr>
        <w:t xml:space="preserve"> economic </w:t>
      </w:r>
      <w:r w:rsidR="00831102" w:rsidRPr="00641D44">
        <w:rPr>
          <w:rFonts w:ascii="Arial" w:hAnsi="Arial" w:cs="Arial"/>
        </w:rPr>
        <w:t xml:space="preserve">impact of the development, since Torbay is a </w:t>
      </w:r>
      <w:r w:rsidR="000B088A" w:rsidRPr="00641D44">
        <w:rPr>
          <w:rFonts w:ascii="Arial" w:hAnsi="Arial" w:cs="Arial"/>
        </w:rPr>
        <w:t>t</w:t>
      </w:r>
      <w:r w:rsidR="00831102" w:rsidRPr="00641D44">
        <w:rPr>
          <w:rFonts w:ascii="Arial" w:hAnsi="Arial" w:cs="Arial"/>
        </w:rPr>
        <w:t>ourist resort.  The Brixham Peninsula in particular has close ties with the rural hinterland and the South Hams AONB; which is part of its tourist appeal.</w:t>
      </w:r>
      <w:r w:rsidR="0052770B" w:rsidRPr="00641D44">
        <w:rPr>
          <w:rFonts w:ascii="Arial" w:hAnsi="Arial" w:cs="Arial"/>
        </w:rPr>
        <w:t xml:space="preserve"> </w:t>
      </w:r>
      <w:r w:rsidR="00831102" w:rsidRPr="00641D44">
        <w:rPr>
          <w:rFonts w:ascii="Arial" w:hAnsi="Arial" w:cs="Arial"/>
        </w:rPr>
        <w:t xml:space="preserve"> </w:t>
      </w:r>
      <w:r w:rsidR="0052770B" w:rsidRPr="00641D44">
        <w:rPr>
          <w:rFonts w:ascii="Arial" w:hAnsi="Arial" w:cs="Arial"/>
        </w:rPr>
        <w:t xml:space="preserve">Mr English’s evidence has set out that this area has more in common with the South Hams than the highly urbanised Torbay landscape. </w:t>
      </w:r>
      <w:r w:rsidR="00831102" w:rsidRPr="00641D44">
        <w:rPr>
          <w:rFonts w:ascii="Arial" w:hAnsi="Arial" w:cs="Arial"/>
        </w:rPr>
        <w:t xml:space="preserve"> </w:t>
      </w:r>
    </w:p>
    <w:p w14:paraId="08D30045" w14:textId="77777777" w:rsidR="00DD22B8" w:rsidRPr="00641D44" w:rsidRDefault="00DD22B8" w:rsidP="00C26940">
      <w:pPr>
        <w:pStyle w:val="ListParagraph"/>
        <w:spacing w:line="360" w:lineRule="auto"/>
        <w:rPr>
          <w:rFonts w:ascii="Arial" w:hAnsi="Arial" w:cs="Arial"/>
        </w:rPr>
      </w:pPr>
    </w:p>
    <w:p w14:paraId="21BE0D77" w14:textId="77391486" w:rsidR="00C26940" w:rsidRPr="00641D44" w:rsidRDefault="00DD22B8" w:rsidP="00654146">
      <w:pPr>
        <w:pStyle w:val="ListParagraph"/>
        <w:numPr>
          <w:ilvl w:val="1"/>
          <w:numId w:val="26"/>
        </w:numPr>
        <w:spacing w:line="360" w:lineRule="auto"/>
        <w:jc w:val="both"/>
        <w:rPr>
          <w:rFonts w:ascii="Arial" w:hAnsi="Arial" w:cs="Arial"/>
        </w:rPr>
      </w:pPr>
      <w:r w:rsidRPr="00641D44">
        <w:rPr>
          <w:rFonts w:ascii="Arial" w:hAnsi="Arial" w:cs="Arial"/>
        </w:rPr>
        <w:t>The R</w:t>
      </w:r>
      <w:r w:rsidR="00C26940" w:rsidRPr="00641D44">
        <w:rPr>
          <w:rFonts w:ascii="Arial" w:hAnsi="Arial" w:cs="Arial"/>
        </w:rPr>
        <w:t>eport</w:t>
      </w:r>
      <w:r w:rsidR="003227B1" w:rsidRPr="00641D44">
        <w:rPr>
          <w:rFonts w:ascii="Arial" w:hAnsi="Arial" w:cs="Arial"/>
        </w:rPr>
        <w:t xml:space="preserve"> and Presentation prepared for Planning Committee on 10</w:t>
      </w:r>
      <w:r w:rsidR="003227B1" w:rsidRPr="00641D44">
        <w:rPr>
          <w:rFonts w:ascii="Arial" w:hAnsi="Arial" w:cs="Arial"/>
          <w:vertAlign w:val="superscript"/>
        </w:rPr>
        <w:t>th</w:t>
      </w:r>
      <w:r w:rsidR="003227B1" w:rsidRPr="00641D44">
        <w:rPr>
          <w:rFonts w:ascii="Arial" w:hAnsi="Arial" w:cs="Arial"/>
        </w:rPr>
        <w:t xml:space="preserve"> February 2020 (CD</w:t>
      </w:r>
      <w:r w:rsidR="009E26C1" w:rsidRPr="00641D44">
        <w:rPr>
          <w:rFonts w:ascii="Arial" w:hAnsi="Arial" w:cs="Arial"/>
        </w:rPr>
        <w:t>10.1</w:t>
      </w:r>
      <w:r w:rsidR="003227B1" w:rsidRPr="00641D44">
        <w:rPr>
          <w:rFonts w:ascii="Arial" w:hAnsi="Arial" w:cs="Arial"/>
        </w:rPr>
        <w:t>)</w:t>
      </w:r>
      <w:r w:rsidR="00C26940" w:rsidRPr="00641D44">
        <w:rPr>
          <w:rFonts w:ascii="Arial" w:hAnsi="Arial" w:cs="Arial"/>
        </w:rPr>
        <w:t xml:space="preserve"> sets out</w:t>
      </w:r>
      <w:r w:rsidRPr="00641D44">
        <w:rPr>
          <w:rFonts w:ascii="Arial" w:hAnsi="Arial" w:cs="Arial"/>
        </w:rPr>
        <w:t xml:space="preserve"> my assessment of the </w:t>
      </w:r>
      <w:r w:rsidR="000B088A" w:rsidRPr="00641D44">
        <w:rPr>
          <w:rFonts w:ascii="Arial" w:hAnsi="Arial" w:cs="Arial"/>
        </w:rPr>
        <w:t>p</w:t>
      </w:r>
      <w:r w:rsidRPr="00641D44">
        <w:rPr>
          <w:rFonts w:ascii="Arial" w:hAnsi="Arial" w:cs="Arial"/>
        </w:rPr>
        <w:t xml:space="preserve">roposal as of </w:t>
      </w:r>
      <w:r w:rsidR="003227B1" w:rsidRPr="00641D44">
        <w:rPr>
          <w:rFonts w:ascii="Arial" w:hAnsi="Arial" w:cs="Arial"/>
        </w:rPr>
        <w:t>that date. This</w:t>
      </w:r>
      <w:r w:rsidRPr="00641D44">
        <w:rPr>
          <w:rFonts w:ascii="Arial" w:hAnsi="Arial" w:cs="Arial"/>
        </w:rPr>
        <w:t xml:space="preserve"> </w:t>
      </w:r>
      <w:r w:rsidR="00C26940" w:rsidRPr="00641D44">
        <w:rPr>
          <w:rFonts w:ascii="Arial" w:hAnsi="Arial" w:cs="Arial"/>
        </w:rPr>
        <w:t>and the Appeal Statement of Case summarises the s</w:t>
      </w:r>
      <w:r w:rsidR="00861BEE" w:rsidRPr="00641D44">
        <w:rPr>
          <w:rFonts w:ascii="Arial" w:hAnsi="Arial" w:cs="Arial"/>
        </w:rPr>
        <w:t xml:space="preserve">ite description and proposal.  </w:t>
      </w:r>
      <w:r w:rsidR="00C26940" w:rsidRPr="00641D44">
        <w:rPr>
          <w:rFonts w:ascii="Arial" w:hAnsi="Arial" w:cs="Arial"/>
        </w:rPr>
        <w:t xml:space="preserve">The </w:t>
      </w:r>
      <w:r w:rsidR="003227B1" w:rsidRPr="00641D44">
        <w:rPr>
          <w:rFonts w:ascii="Arial" w:hAnsi="Arial" w:cs="Arial"/>
        </w:rPr>
        <w:t>Committee</w:t>
      </w:r>
      <w:r w:rsidR="00C26940" w:rsidRPr="00641D44">
        <w:rPr>
          <w:rFonts w:ascii="Arial" w:hAnsi="Arial" w:cs="Arial"/>
        </w:rPr>
        <w:t xml:space="preserve"> </w:t>
      </w:r>
      <w:r w:rsidR="00024F44" w:rsidRPr="00641D44">
        <w:rPr>
          <w:rFonts w:ascii="Arial" w:hAnsi="Arial" w:cs="Arial"/>
        </w:rPr>
        <w:t>R</w:t>
      </w:r>
      <w:r w:rsidR="00C26940" w:rsidRPr="00641D44">
        <w:rPr>
          <w:rFonts w:ascii="Arial" w:hAnsi="Arial" w:cs="Arial"/>
        </w:rPr>
        <w:t xml:space="preserve">eport recognises that the scheme has substantial benefits, </w:t>
      </w:r>
      <w:r w:rsidR="00C459BD" w:rsidRPr="00641D44">
        <w:rPr>
          <w:rFonts w:ascii="Arial" w:hAnsi="Arial" w:cs="Arial"/>
        </w:rPr>
        <w:t>and that t</w:t>
      </w:r>
      <w:r w:rsidR="00C26940" w:rsidRPr="00641D44">
        <w:rPr>
          <w:rFonts w:ascii="Arial" w:hAnsi="Arial" w:cs="Arial"/>
        </w:rPr>
        <w:t xml:space="preserve">he </w:t>
      </w:r>
      <w:r w:rsidR="00C459BD" w:rsidRPr="00641D44">
        <w:rPr>
          <w:rFonts w:ascii="Arial" w:hAnsi="Arial" w:cs="Arial"/>
        </w:rPr>
        <w:t>appellants</w:t>
      </w:r>
      <w:r w:rsidR="00C26940" w:rsidRPr="00641D44">
        <w:rPr>
          <w:rFonts w:ascii="Arial" w:hAnsi="Arial" w:cs="Arial"/>
        </w:rPr>
        <w:t xml:space="preserve"> have worked constructively to resolve technical problems and have proposed a comprehensive package of habitats and landscape mitigation as well as a policy compliant draft Section 106 package.  The report also acknowledges the site’s history, including its consideration in the emerging Local Plan. </w:t>
      </w:r>
    </w:p>
    <w:p w14:paraId="13176321" w14:textId="77777777" w:rsidR="0068034C" w:rsidRPr="00641D44" w:rsidRDefault="0068034C" w:rsidP="0068034C">
      <w:pPr>
        <w:pStyle w:val="ListParagraph"/>
        <w:rPr>
          <w:rFonts w:ascii="Arial" w:hAnsi="Arial" w:cs="Arial"/>
        </w:rPr>
      </w:pPr>
    </w:p>
    <w:p w14:paraId="034294C0" w14:textId="7F6F969F" w:rsidR="0068034C" w:rsidRPr="00641D44" w:rsidRDefault="0068034C" w:rsidP="00654146">
      <w:pPr>
        <w:pStyle w:val="ListParagraph"/>
        <w:numPr>
          <w:ilvl w:val="1"/>
          <w:numId w:val="26"/>
        </w:numPr>
        <w:spacing w:line="360" w:lineRule="auto"/>
        <w:jc w:val="both"/>
        <w:rPr>
          <w:rFonts w:ascii="Arial" w:hAnsi="Arial" w:cs="Arial"/>
        </w:rPr>
      </w:pPr>
      <w:r w:rsidRPr="00641D44">
        <w:rPr>
          <w:rFonts w:ascii="Arial" w:hAnsi="Arial" w:cs="Arial"/>
        </w:rPr>
        <w:lastRenderedPageBreak/>
        <w:t xml:space="preserve">As an appeal against non-determination, it must be clear that </w:t>
      </w:r>
      <w:r w:rsidR="006C7AD1" w:rsidRPr="00641D44">
        <w:rPr>
          <w:rFonts w:ascii="Arial" w:hAnsi="Arial" w:cs="Arial"/>
        </w:rPr>
        <w:t xml:space="preserve">the decision is not an easy one. However, the appellants were not able to overcome </w:t>
      </w:r>
      <w:r w:rsidR="000B088A" w:rsidRPr="00641D44">
        <w:rPr>
          <w:rFonts w:ascii="Arial" w:hAnsi="Arial" w:cs="Arial"/>
        </w:rPr>
        <w:t xml:space="preserve">the </w:t>
      </w:r>
      <w:r w:rsidR="006C7AD1" w:rsidRPr="00641D44">
        <w:rPr>
          <w:rFonts w:ascii="Arial" w:hAnsi="Arial" w:cs="Arial"/>
        </w:rPr>
        <w:t>landscape harm</w:t>
      </w:r>
      <w:r w:rsidR="003227B1" w:rsidRPr="00641D44">
        <w:rPr>
          <w:rFonts w:ascii="Arial" w:hAnsi="Arial" w:cs="Arial"/>
        </w:rPr>
        <w:t xml:space="preserve"> to the nearby AONB</w:t>
      </w:r>
      <w:r w:rsidR="006C7AD1" w:rsidRPr="00641D44">
        <w:rPr>
          <w:rFonts w:ascii="Arial" w:hAnsi="Arial" w:cs="Arial"/>
        </w:rPr>
        <w:t xml:space="preserve">.  Moreover the Brixham </w:t>
      </w:r>
      <w:r w:rsidR="003227B1" w:rsidRPr="00641D44">
        <w:rPr>
          <w:rFonts w:ascii="Arial" w:hAnsi="Arial" w:cs="Arial"/>
        </w:rPr>
        <w:t>P</w:t>
      </w:r>
      <w:r w:rsidR="006C7AD1" w:rsidRPr="00641D44">
        <w:rPr>
          <w:rFonts w:ascii="Arial" w:hAnsi="Arial" w:cs="Arial"/>
        </w:rPr>
        <w:t>eninsula Neighbourhood Plan</w:t>
      </w:r>
      <w:r w:rsidR="00804F11" w:rsidRPr="00641D44">
        <w:rPr>
          <w:rFonts w:ascii="Arial" w:hAnsi="Arial" w:cs="Arial"/>
        </w:rPr>
        <w:t xml:space="preserve"> (BPNP)</w:t>
      </w:r>
      <w:r w:rsidR="006C7AD1" w:rsidRPr="00641D44">
        <w:rPr>
          <w:rFonts w:ascii="Arial" w:hAnsi="Arial" w:cs="Arial"/>
        </w:rPr>
        <w:t>, which came into force in June 2019</w:t>
      </w:r>
      <w:r w:rsidR="00C459BD" w:rsidRPr="00641D44">
        <w:rPr>
          <w:rFonts w:ascii="Arial" w:hAnsi="Arial" w:cs="Arial"/>
        </w:rPr>
        <w:t>,</w:t>
      </w:r>
      <w:r w:rsidR="006C7AD1" w:rsidRPr="00641D44">
        <w:rPr>
          <w:rFonts w:ascii="Arial" w:hAnsi="Arial" w:cs="Arial"/>
        </w:rPr>
        <w:t xml:space="preserve"> added a significant development plan obstacle to the</w:t>
      </w:r>
      <w:r w:rsidR="000B088A" w:rsidRPr="00641D44">
        <w:rPr>
          <w:rFonts w:ascii="Arial" w:hAnsi="Arial" w:cs="Arial"/>
        </w:rPr>
        <w:t xml:space="preserve"> proposed development on the</w:t>
      </w:r>
      <w:r w:rsidR="006C7AD1" w:rsidRPr="00641D44">
        <w:rPr>
          <w:rFonts w:ascii="Arial" w:hAnsi="Arial" w:cs="Arial"/>
        </w:rPr>
        <w:t xml:space="preserve"> site. </w:t>
      </w:r>
      <w:r w:rsidR="00C459BD" w:rsidRPr="00641D44">
        <w:rPr>
          <w:rFonts w:ascii="Arial" w:hAnsi="Arial" w:cs="Arial"/>
        </w:rPr>
        <w:t>In particular the BPNP protects the vista across the site towards the AONB</w:t>
      </w:r>
      <w:r w:rsidR="0052770B" w:rsidRPr="00641D44">
        <w:rPr>
          <w:rFonts w:ascii="Arial" w:hAnsi="Arial" w:cs="Arial"/>
        </w:rPr>
        <w:t>, and designates the site as a settlement gap</w:t>
      </w:r>
      <w:r w:rsidR="00C459BD" w:rsidRPr="00641D44">
        <w:rPr>
          <w:rFonts w:ascii="Arial" w:hAnsi="Arial" w:cs="Arial"/>
        </w:rPr>
        <w:t>. This is a rational and defensible policy</w:t>
      </w:r>
      <w:r w:rsidR="0052770B" w:rsidRPr="00641D44">
        <w:rPr>
          <w:rFonts w:ascii="Arial" w:hAnsi="Arial" w:cs="Arial"/>
        </w:rPr>
        <w:t xml:space="preserve"> position</w:t>
      </w:r>
      <w:r w:rsidR="00C459BD" w:rsidRPr="00641D44">
        <w:rPr>
          <w:rFonts w:ascii="Arial" w:hAnsi="Arial" w:cs="Arial"/>
        </w:rPr>
        <w:t xml:space="preserve">. </w:t>
      </w:r>
      <w:r w:rsidR="006C7AD1" w:rsidRPr="00641D44">
        <w:rPr>
          <w:rFonts w:ascii="Arial" w:hAnsi="Arial" w:cs="Arial"/>
        </w:rPr>
        <w:t xml:space="preserve">  </w:t>
      </w:r>
    </w:p>
    <w:p w14:paraId="2C514039" w14:textId="4E4E0FFC" w:rsidR="00C857B5" w:rsidRPr="00641D44" w:rsidRDefault="00C26940" w:rsidP="005657F0">
      <w:pPr>
        <w:spacing w:line="360" w:lineRule="auto"/>
        <w:ind w:left="720" w:hanging="720"/>
        <w:jc w:val="both"/>
        <w:rPr>
          <w:rFonts w:ascii="Arial" w:hAnsi="Arial" w:cs="Arial"/>
        </w:rPr>
      </w:pPr>
      <w:r w:rsidRPr="00641D44">
        <w:rPr>
          <w:rFonts w:ascii="Arial" w:hAnsi="Arial" w:cs="Arial"/>
        </w:rPr>
        <w:t>1.6</w:t>
      </w:r>
      <w:r w:rsidRPr="00641D44">
        <w:rPr>
          <w:rFonts w:ascii="Arial" w:hAnsi="Arial" w:cs="Arial"/>
        </w:rPr>
        <w:tab/>
        <w:t xml:space="preserve">The appeal </w:t>
      </w:r>
      <w:r w:rsidR="00A741E9" w:rsidRPr="00641D44">
        <w:rPr>
          <w:rFonts w:ascii="Arial" w:hAnsi="Arial" w:cs="Arial"/>
        </w:rPr>
        <w:t>proposal</w:t>
      </w:r>
      <w:r w:rsidRPr="00641D44">
        <w:rPr>
          <w:rFonts w:ascii="Arial" w:hAnsi="Arial" w:cs="Arial"/>
        </w:rPr>
        <w:t xml:space="preserve"> is highly controversial and has attracted objections from over 500 individuals as well as a range of organisations</w:t>
      </w:r>
      <w:r w:rsidR="00C857B5" w:rsidRPr="00641D44">
        <w:rPr>
          <w:rFonts w:ascii="Arial" w:hAnsi="Arial" w:cs="Arial"/>
        </w:rPr>
        <w:t xml:space="preserve"> including</w:t>
      </w:r>
      <w:r w:rsidR="00C857B5" w:rsidRPr="00641D44">
        <w:t xml:space="preserve"> </w:t>
      </w:r>
      <w:r w:rsidR="00C857B5" w:rsidRPr="00641D44">
        <w:rPr>
          <w:rFonts w:ascii="Arial" w:hAnsi="Arial" w:cs="Arial"/>
        </w:rPr>
        <w:t>South Hams District Council, Brixham Town Council/Neighbourhood Plan Group and the adjoining Parish Councils located within the Dart Valley (</w:t>
      </w:r>
      <w:r w:rsidR="00804F11" w:rsidRPr="00641D44">
        <w:rPr>
          <w:rFonts w:ascii="Arial" w:hAnsi="Arial" w:cs="Arial"/>
        </w:rPr>
        <w:t>Stoke</w:t>
      </w:r>
      <w:r w:rsidR="00C857B5" w:rsidRPr="00641D44">
        <w:rPr>
          <w:rFonts w:ascii="Arial" w:hAnsi="Arial" w:cs="Arial"/>
        </w:rPr>
        <w:t xml:space="preserve"> Gabriel, Dittisham and Cornworthy).  </w:t>
      </w:r>
    </w:p>
    <w:p w14:paraId="4419A692" w14:textId="4FC459A2" w:rsidR="0068034C" w:rsidRPr="00641D44" w:rsidRDefault="0068034C" w:rsidP="0068034C">
      <w:pPr>
        <w:spacing w:line="360" w:lineRule="auto"/>
        <w:ind w:left="720" w:hanging="720"/>
        <w:jc w:val="both"/>
        <w:rPr>
          <w:rFonts w:ascii="Arial" w:hAnsi="Arial" w:cs="Arial"/>
        </w:rPr>
      </w:pPr>
      <w:r w:rsidRPr="00641D44">
        <w:rPr>
          <w:rFonts w:ascii="Arial" w:hAnsi="Arial" w:cs="Arial"/>
        </w:rPr>
        <w:t>1.7</w:t>
      </w:r>
      <w:r w:rsidRPr="00641D44">
        <w:rPr>
          <w:rFonts w:ascii="Arial" w:hAnsi="Arial" w:cs="Arial"/>
        </w:rPr>
        <w:tab/>
      </w:r>
      <w:r w:rsidR="00C26940" w:rsidRPr="00641D44">
        <w:rPr>
          <w:rFonts w:ascii="Arial" w:hAnsi="Arial" w:cs="Arial"/>
        </w:rPr>
        <w:t>Torbay Council’s Planning Committee considered the application on 10</w:t>
      </w:r>
      <w:r w:rsidR="00C26940" w:rsidRPr="00641D44">
        <w:rPr>
          <w:rFonts w:ascii="Arial" w:hAnsi="Arial" w:cs="Arial"/>
          <w:vertAlign w:val="superscript"/>
        </w:rPr>
        <w:t>th</w:t>
      </w:r>
      <w:r w:rsidR="00C26940" w:rsidRPr="00641D44">
        <w:rPr>
          <w:rFonts w:ascii="Arial" w:hAnsi="Arial" w:cs="Arial"/>
        </w:rPr>
        <w:t xml:space="preserve"> February 2020 and unanimously resolved that if the application were to be determined by the LPA it would have been refused as per the officer recommendation.  The Officer Report notes that there are many </w:t>
      </w:r>
      <w:r w:rsidR="00861BEE" w:rsidRPr="00641D44">
        <w:rPr>
          <w:rFonts w:ascii="Arial" w:hAnsi="Arial" w:cs="Arial"/>
        </w:rPr>
        <w:t xml:space="preserve">sincerely </w:t>
      </w:r>
      <w:r w:rsidR="001645D9" w:rsidRPr="00641D44">
        <w:rPr>
          <w:rFonts w:ascii="Arial" w:hAnsi="Arial" w:cs="Arial"/>
        </w:rPr>
        <w:t xml:space="preserve">held </w:t>
      </w:r>
      <w:r w:rsidR="00C26940" w:rsidRPr="00641D44">
        <w:rPr>
          <w:rFonts w:ascii="Arial" w:hAnsi="Arial" w:cs="Arial"/>
        </w:rPr>
        <w:t>objections to the proposal which do not feature in the recommended reasons for refusal</w:t>
      </w:r>
      <w:r w:rsidR="001645D9" w:rsidRPr="00641D44">
        <w:rPr>
          <w:rFonts w:ascii="Arial" w:hAnsi="Arial" w:cs="Arial"/>
        </w:rPr>
        <w:t>; and that different people have come to different conclusions f</w:t>
      </w:r>
      <w:r w:rsidR="00A741E9" w:rsidRPr="00641D44">
        <w:rPr>
          <w:rFonts w:ascii="Arial" w:hAnsi="Arial" w:cs="Arial"/>
        </w:rPr>
        <w:t>rom</w:t>
      </w:r>
      <w:r w:rsidR="001645D9" w:rsidRPr="00641D44">
        <w:rPr>
          <w:rFonts w:ascii="Arial" w:hAnsi="Arial" w:cs="Arial"/>
        </w:rPr>
        <w:t xml:space="preserve"> myself on these matters. </w:t>
      </w:r>
      <w:r w:rsidR="009E26C1" w:rsidRPr="00641D44">
        <w:rPr>
          <w:rFonts w:ascii="Arial" w:hAnsi="Arial" w:cs="Arial"/>
        </w:rPr>
        <w:t>Other Inquiry participants are</w:t>
      </w:r>
      <w:r w:rsidR="005657F0" w:rsidRPr="00641D44">
        <w:rPr>
          <w:rFonts w:ascii="Arial" w:hAnsi="Arial" w:cs="Arial"/>
        </w:rPr>
        <w:t xml:space="preserve"> likely to set out objections on</w:t>
      </w:r>
      <w:r w:rsidR="00861BEE" w:rsidRPr="00641D44">
        <w:rPr>
          <w:rFonts w:ascii="Arial" w:hAnsi="Arial" w:cs="Arial"/>
        </w:rPr>
        <w:t xml:space="preserve"> other matter</w:t>
      </w:r>
      <w:r w:rsidRPr="00641D44">
        <w:rPr>
          <w:rFonts w:ascii="Arial" w:hAnsi="Arial" w:cs="Arial"/>
        </w:rPr>
        <w:t>s.</w:t>
      </w:r>
    </w:p>
    <w:p w14:paraId="2718140B" w14:textId="77777777" w:rsidR="0068034C" w:rsidRPr="00641D44" w:rsidRDefault="0068034C" w:rsidP="006D6140">
      <w:pPr>
        <w:rPr>
          <w:rFonts w:ascii="Arial" w:hAnsi="Arial" w:cs="Arial"/>
        </w:rPr>
      </w:pPr>
    </w:p>
    <w:p w14:paraId="61C5BE24" w14:textId="77777777" w:rsidR="00861BEE" w:rsidRPr="00641D44" w:rsidRDefault="00C459BD" w:rsidP="00C459BD">
      <w:pPr>
        <w:spacing w:line="360" w:lineRule="auto"/>
        <w:rPr>
          <w:rFonts w:ascii="Arial" w:hAnsi="Arial" w:cs="Arial"/>
          <w:b/>
        </w:rPr>
      </w:pPr>
      <w:r w:rsidRPr="00641D44">
        <w:rPr>
          <w:rFonts w:ascii="Arial" w:hAnsi="Arial" w:cs="Arial"/>
          <w:b/>
        </w:rPr>
        <w:t>2</w:t>
      </w:r>
      <w:r w:rsidR="00861BEE" w:rsidRPr="00641D44">
        <w:rPr>
          <w:rFonts w:ascii="Arial" w:hAnsi="Arial" w:cs="Arial"/>
          <w:b/>
        </w:rPr>
        <w:t xml:space="preserve">. </w:t>
      </w:r>
      <w:r w:rsidRPr="00641D44">
        <w:rPr>
          <w:rFonts w:ascii="Arial" w:hAnsi="Arial" w:cs="Arial"/>
          <w:b/>
        </w:rPr>
        <w:tab/>
      </w:r>
      <w:r w:rsidR="00861BEE" w:rsidRPr="00641D44">
        <w:rPr>
          <w:rFonts w:ascii="Arial" w:hAnsi="Arial" w:cs="Arial"/>
          <w:b/>
        </w:rPr>
        <w:t xml:space="preserve">Issues Identified in the original Case </w:t>
      </w:r>
      <w:r w:rsidR="00D13AA5" w:rsidRPr="00641D44">
        <w:rPr>
          <w:rFonts w:ascii="Arial" w:hAnsi="Arial" w:cs="Arial"/>
          <w:b/>
        </w:rPr>
        <w:t>M</w:t>
      </w:r>
      <w:r w:rsidR="00861BEE" w:rsidRPr="00641D44">
        <w:rPr>
          <w:rFonts w:ascii="Arial" w:hAnsi="Arial" w:cs="Arial"/>
          <w:b/>
        </w:rPr>
        <w:t xml:space="preserve">anagement Conference </w:t>
      </w:r>
    </w:p>
    <w:p w14:paraId="7A1C443D" w14:textId="53C8BA5B" w:rsidR="00861BEE" w:rsidRPr="00641D44" w:rsidRDefault="00C459BD" w:rsidP="00C459BD">
      <w:pPr>
        <w:spacing w:line="360" w:lineRule="auto"/>
        <w:ind w:left="709" w:hanging="709"/>
        <w:rPr>
          <w:rFonts w:ascii="Arial" w:hAnsi="Arial" w:cs="Arial"/>
        </w:rPr>
      </w:pPr>
      <w:r w:rsidRPr="00641D44">
        <w:rPr>
          <w:rFonts w:ascii="Arial" w:hAnsi="Arial" w:cs="Arial"/>
        </w:rPr>
        <w:t>2.1</w:t>
      </w:r>
      <w:r w:rsidRPr="00641D44">
        <w:rPr>
          <w:rFonts w:ascii="Arial" w:hAnsi="Arial" w:cs="Arial"/>
        </w:rPr>
        <w:tab/>
      </w:r>
      <w:r w:rsidR="00861BEE" w:rsidRPr="00641D44">
        <w:rPr>
          <w:rFonts w:ascii="Arial" w:hAnsi="Arial" w:cs="Arial"/>
        </w:rPr>
        <w:t>The</w:t>
      </w:r>
      <w:r w:rsidR="003227B1" w:rsidRPr="00641D44">
        <w:rPr>
          <w:rFonts w:ascii="Arial" w:hAnsi="Arial" w:cs="Arial"/>
        </w:rPr>
        <w:t xml:space="preserve"> original</w:t>
      </w:r>
      <w:r w:rsidR="00861BEE" w:rsidRPr="00641D44">
        <w:rPr>
          <w:rFonts w:ascii="Arial" w:hAnsi="Arial" w:cs="Arial"/>
        </w:rPr>
        <w:t xml:space="preserve"> Inspector’s Case Conference Management note</w:t>
      </w:r>
      <w:r w:rsidR="003227B1" w:rsidRPr="00641D44">
        <w:rPr>
          <w:rFonts w:ascii="Arial" w:hAnsi="Arial" w:cs="Arial"/>
        </w:rPr>
        <w:t xml:space="preserve">, dated 10 March 2020 </w:t>
      </w:r>
      <w:r w:rsidR="00861BEE" w:rsidRPr="00641D44">
        <w:rPr>
          <w:rFonts w:ascii="Arial" w:hAnsi="Arial" w:cs="Arial"/>
        </w:rPr>
        <w:t>identified three ma</w:t>
      </w:r>
      <w:r w:rsidRPr="00641D44">
        <w:rPr>
          <w:rFonts w:ascii="Arial" w:hAnsi="Arial" w:cs="Arial"/>
        </w:rPr>
        <w:t>i</w:t>
      </w:r>
      <w:r w:rsidR="00861BEE" w:rsidRPr="00641D44">
        <w:rPr>
          <w:rFonts w:ascii="Arial" w:hAnsi="Arial" w:cs="Arial"/>
        </w:rPr>
        <w:t>n issues</w:t>
      </w:r>
      <w:r w:rsidR="003227B1" w:rsidRPr="00641D44">
        <w:rPr>
          <w:rFonts w:ascii="Arial" w:hAnsi="Arial" w:cs="Arial"/>
        </w:rPr>
        <w:t xml:space="preserve">: </w:t>
      </w:r>
      <w:r w:rsidR="00861BEE" w:rsidRPr="00641D44">
        <w:rPr>
          <w:rFonts w:ascii="Arial" w:hAnsi="Arial" w:cs="Arial"/>
        </w:rPr>
        <w:t xml:space="preserve"> </w:t>
      </w:r>
    </w:p>
    <w:p w14:paraId="2972DE35" w14:textId="77777777" w:rsidR="00861BEE" w:rsidRPr="00641D44" w:rsidRDefault="00861BEE" w:rsidP="00C459BD">
      <w:pPr>
        <w:pStyle w:val="ListParagraph"/>
        <w:numPr>
          <w:ilvl w:val="0"/>
          <w:numId w:val="27"/>
        </w:numPr>
        <w:spacing w:after="0" w:line="360" w:lineRule="auto"/>
        <w:ind w:left="1276" w:hanging="425"/>
        <w:rPr>
          <w:rFonts w:ascii="Arial" w:eastAsia="Times New Roman" w:hAnsi="Arial" w:cs="Arial"/>
          <w:szCs w:val="20"/>
          <w:lang w:eastAsia="en-GB"/>
        </w:rPr>
      </w:pPr>
      <w:r w:rsidRPr="00641D44">
        <w:rPr>
          <w:rFonts w:ascii="Arial" w:eastAsia="Times New Roman" w:hAnsi="Arial" w:cs="Arial"/>
          <w:szCs w:val="20"/>
          <w:lang w:eastAsia="en-GB"/>
        </w:rPr>
        <w:t xml:space="preserve">The effect of the proposal on the landscape character and appearance of the surrounding area, with particular regard to the South Devon Area of Outstanding Natural Beauty (AONB) and the settlement gap; </w:t>
      </w:r>
    </w:p>
    <w:p w14:paraId="36C36F72" w14:textId="77777777" w:rsidR="00861BEE" w:rsidRPr="00641D44" w:rsidRDefault="00861BEE" w:rsidP="00C459BD">
      <w:pPr>
        <w:numPr>
          <w:ilvl w:val="0"/>
          <w:numId w:val="27"/>
        </w:numPr>
        <w:spacing w:after="0" w:line="360" w:lineRule="auto"/>
        <w:ind w:left="1276" w:hanging="425"/>
        <w:contextualSpacing/>
        <w:rPr>
          <w:rFonts w:ascii="Arial" w:eastAsia="Times New Roman" w:hAnsi="Arial" w:cs="Arial"/>
          <w:szCs w:val="20"/>
          <w:lang w:eastAsia="en-GB"/>
        </w:rPr>
      </w:pPr>
      <w:r w:rsidRPr="00641D44">
        <w:rPr>
          <w:rFonts w:ascii="Arial" w:eastAsia="Times New Roman" w:hAnsi="Arial" w:cs="Arial"/>
          <w:szCs w:val="20"/>
          <w:lang w:eastAsia="en-GB"/>
        </w:rPr>
        <w:t>The effect on protected species, with particular regard to the Greater Horseshoe Bat and the South Hams Special Area of Conservation</w:t>
      </w:r>
      <w:r w:rsidR="000B088A" w:rsidRPr="00641D44">
        <w:rPr>
          <w:rFonts w:ascii="Arial" w:eastAsia="Times New Roman" w:hAnsi="Arial" w:cs="Arial"/>
          <w:szCs w:val="20"/>
          <w:lang w:eastAsia="en-GB"/>
        </w:rPr>
        <w:t>; and</w:t>
      </w:r>
      <w:r w:rsidRPr="00641D44">
        <w:rPr>
          <w:rFonts w:ascii="Arial" w:eastAsia="Times New Roman" w:hAnsi="Arial" w:cs="Arial"/>
          <w:szCs w:val="20"/>
          <w:lang w:eastAsia="en-GB"/>
        </w:rPr>
        <w:t xml:space="preserve"> </w:t>
      </w:r>
    </w:p>
    <w:p w14:paraId="02973A3D" w14:textId="77777777" w:rsidR="00861BEE" w:rsidRPr="00641D44" w:rsidRDefault="00861BEE" w:rsidP="00C459BD">
      <w:pPr>
        <w:numPr>
          <w:ilvl w:val="0"/>
          <w:numId w:val="27"/>
        </w:numPr>
        <w:spacing w:after="0" w:line="360" w:lineRule="auto"/>
        <w:ind w:left="1276" w:hanging="425"/>
        <w:contextualSpacing/>
        <w:rPr>
          <w:rFonts w:ascii="Arial" w:eastAsia="Times New Roman" w:hAnsi="Arial" w:cs="Arial"/>
          <w:szCs w:val="20"/>
          <w:lang w:eastAsia="en-GB"/>
        </w:rPr>
      </w:pPr>
      <w:r w:rsidRPr="00641D44">
        <w:rPr>
          <w:rFonts w:ascii="Arial" w:eastAsia="Times New Roman" w:hAnsi="Arial" w:cs="Arial"/>
          <w:szCs w:val="20"/>
          <w:lang w:eastAsia="en-GB"/>
        </w:rPr>
        <w:t>Whether the site is suitable for development in light of the policies in the development plan, including the Brixham Peninsular Neighbourhood Plan, and other material considerations, including the 5 year housing land supply.</w:t>
      </w:r>
    </w:p>
    <w:p w14:paraId="7EA1F71F" w14:textId="77777777" w:rsidR="00861BEE" w:rsidRPr="00641D44" w:rsidRDefault="00861BEE" w:rsidP="00C459BD">
      <w:pPr>
        <w:spacing w:line="360" w:lineRule="auto"/>
        <w:rPr>
          <w:rFonts w:ascii="Arial" w:hAnsi="Arial" w:cs="Arial"/>
        </w:rPr>
      </w:pPr>
    </w:p>
    <w:p w14:paraId="26924C9D" w14:textId="0C90719B" w:rsidR="00861BEE" w:rsidRPr="00641D44" w:rsidRDefault="00C459BD" w:rsidP="00654146">
      <w:pPr>
        <w:spacing w:line="360" w:lineRule="auto"/>
        <w:ind w:left="720" w:hanging="720"/>
        <w:jc w:val="both"/>
        <w:rPr>
          <w:rFonts w:ascii="Arial" w:hAnsi="Arial" w:cs="Arial"/>
        </w:rPr>
      </w:pPr>
      <w:r w:rsidRPr="00641D44">
        <w:rPr>
          <w:rFonts w:ascii="Arial" w:hAnsi="Arial" w:cs="Arial"/>
        </w:rPr>
        <w:t>2.2</w:t>
      </w:r>
      <w:r w:rsidRPr="00641D44">
        <w:rPr>
          <w:rFonts w:ascii="Arial" w:hAnsi="Arial" w:cs="Arial"/>
        </w:rPr>
        <w:tab/>
      </w:r>
      <w:r w:rsidR="000B088A" w:rsidRPr="00641D44">
        <w:rPr>
          <w:rFonts w:ascii="Arial" w:hAnsi="Arial" w:cs="Arial"/>
        </w:rPr>
        <w:t>The previous Inspector appointed to determine the appeal</w:t>
      </w:r>
      <w:r w:rsidR="00861BEE" w:rsidRPr="00641D44">
        <w:rPr>
          <w:rFonts w:ascii="Arial" w:hAnsi="Arial" w:cs="Arial"/>
        </w:rPr>
        <w:t xml:space="preserve"> also noted that </w:t>
      </w:r>
      <w:r w:rsidR="00861BEE" w:rsidRPr="00641D44">
        <w:rPr>
          <w:rFonts w:ascii="Arial" w:eastAsia="Times New Roman" w:hAnsi="Arial" w:cs="Arial"/>
          <w:lang w:eastAsia="en-GB"/>
        </w:rPr>
        <w:t xml:space="preserve">the Inquiry will also look at any benefits to be weighed in the planning balance, and </w:t>
      </w:r>
      <w:r w:rsidR="00861BEE" w:rsidRPr="00641D44">
        <w:rPr>
          <w:rFonts w:ascii="Arial" w:hAnsi="Arial" w:cs="Arial"/>
        </w:rPr>
        <w:t xml:space="preserve">the wider </w:t>
      </w:r>
      <w:r w:rsidR="00861BEE" w:rsidRPr="00641D44">
        <w:rPr>
          <w:rFonts w:ascii="Arial" w:hAnsi="Arial" w:cs="Arial"/>
        </w:rPr>
        <w:lastRenderedPageBreak/>
        <w:t xml:space="preserve">concerns raised in responses by the </w:t>
      </w:r>
      <w:r w:rsidR="003C6266" w:rsidRPr="00641D44">
        <w:rPr>
          <w:rFonts w:ascii="Arial" w:hAnsi="Arial" w:cs="Arial"/>
        </w:rPr>
        <w:t xml:space="preserve"> (then) </w:t>
      </w:r>
      <w:r w:rsidR="00861BEE" w:rsidRPr="00641D44">
        <w:rPr>
          <w:rFonts w:ascii="Arial" w:hAnsi="Arial" w:cs="Arial"/>
        </w:rPr>
        <w:t>Rule 6 party and other interested parties, including highway safety</w:t>
      </w:r>
      <w:r w:rsidR="00861BEE" w:rsidRPr="00641D44">
        <w:rPr>
          <w:rFonts w:ascii="Arial" w:eastAsia="Times New Roman" w:hAnsi="Arial" w:cs="Arial"/>
          <w:lang w:eastAsia="en-GB"/>
        </w:rPr>
        <w:t xml:space="preserve">.  </w:t>
      </w:r>
    </w:p>
    <w:p w14:paraId="5591E040" w14:textId="7D763F1D" w:rsidR="00861BEE" w:rsidRPr="00641D44" w:rsidRDefault="00C459BD" w:rsidP="00654146">
      <w:pPr>
        <w:spacing w:line="360" w:lineRule="auto"/>
        <w:ind w:left="720" w:hanging="720"/>
        <w:jc w:val="both"/>
        <w:rPr>
          <w:rFonts w:ascii="Arial" w:hAnsi="Arial" w:cs="Arial"/>
        </w:rPr>
      </w:pPr>
      <w:r w:rsidRPr="00641D44">
        <w:rPr>
          <w:rFonts w:ascii="Arial" w:hAnsi="Arial" w:cs="Arial"/>
        </w:rPr>
        <w:t>2.3</w:t>
      </w:r>
      <w:r w:rsidRPr="00641D44">
        <w:rPr>
          <w:rFonts w:ascii="Arial" w:hAnsi="Arial" w:cs="Arial"/>
          <w:b/>
        </w:rPr>
        <w:tab/>
      </w:r>
      <w:r w:rsidR="00861BEE" w:rsidRPr="00641D44">
        <w:rPr>
          <w:rFonts w:ascii="Arial" w:hAnsi="Arial" w:cs="Arial"/>
          <w:b/>
        </w:rPr>
        <w:t xml:space="preserve">Issue 1: Impact on the AONB and Settlement </w:t>
      </w:r>
      <w:r w:rsidR="000B088A" w:rsidRPr="00641D44">
        <w:rPr>
          <w:rFonts w:ascii="Arial" w:hAnsi="Arial" w:cs="Arial"/>
          <w:b/>
        </w:rPr>
        <w:t>G</w:t>
      </w:r>
      <w:r w:rsidR="00861BEE" w:rsidRPr="00641D44">
        <w:rPr>
          <w:rFonts w:ascii="Arial" w:hAnsi="Arial" w:cs="Arial"/>
          <w:b/>
        </w:rPr>
        <w:t xml:space="preserve">ap. </w:t>
      </w:r>
      <w:r w:rsidR="00861BEE" w:rsidRPr="00641D44">
        <w:rPr>
          <w:rFonts w:ascii="Arial" w:hAnsi="Arial" w:cs="Arial"/>
        </w:rPr>
        <w:t xml:space="preserve">This issue relates to landscape impact both in terms of the effect on the AONB through development within its setting; and the effect on the </w:t>
      </w:r>
      <w:r w:rsidR="00DB19AB" w:rsidRPr="00641D44">
        <w:rPr>
          <w:rFonts w:ascii="Arial" w:hAnsi="Arial" w:cs="Arial"/>
        </w:rPr>
        <w:t xml:space="preserve">rolling farmland, which is </w:t>
      </w:r>
      <w:r w:rsidR="00861BEE" w:rsidRPr="00641D44">
        <w:rPr>
          <w:rFonts w:ascii="Arial" w:hAnsi="Arial" w:cs="Arial"/>
        </w:rPr>
        <w:t>designated</w:t>
      </w:r>
      <w:r w:rsidR="00DB19AB" w:rsidRPr="00641D44">
        <w:rPr>
          <w:rFonts w:ascii="Arial" w:hAnsi="Arial" w:cs="Arial"/>
        </w:rPr>
        <w:t xml:space="preserve"> as</w:t>
      </w:r>
      <w:r w:rsidR="00861BEE" w:rsidRPr="00641D44">
        <w:rPr>
          <w:rFonts w:ascii="Arial" w:hAnsi="Arial" w:cs="Arial"/>
        </w:rPr>
        <w:t xml:space="preserve"> countryside (Local Plan Policy C1</w:t>
      </w:r>
      <w:r w:rsidR="00804F11" w:rsidRPr="00641D44">
        <w:rPr>
          <w:rFonts w:ascii="Arial" w:hAnsi="Arial" w:cs="Arial"/>
        </w:rPr>
        <w:t xml:space="preserve"> and BPNP Policy E2</w:t>
      </w:r>
      <w:r w:rsidR="00861BEE" w:rsidRPr="00641D44">
        <w:rPr>
          <w:rFonts w:ascii="Arial" w:hAnsi="Arial" w:cs="Arial"/>
        </w:rPr>
        <w:t xml:space="preserve">) and Settlement Gap (BPNP Policy E3).  Separate </w:t>
      </w:r>
      <w:r w:rsidR="000B088A" w:rsidRPr="00641D44">
        <w:rPr>
          <w:rFonts w:ascii="Arial" w:hAnsi="Arial" w:cs="Arial"/>
        </w:rPr>
        <w:t>p</w:t>
      </w:r>
      <w:r w:rsidR="00861BEE" w:rsidRPr="00641D44">
        <w:rPr>
          <w:rFonts w:ascii="Arial" w:hAnsi="Arial" w:cs="Arial"/>
        </w:rPr>
        <w:t>roofs will be prepared by Mr Steve Knott</w:t>
      </w:r>
      <w:r w:rsidRPr="00641D44">
        <w:rPr>
          <w:rFonts w:ascii="Arial" w:hAnsi="Arial" w:cs="Arial"/>
        </w:rPr>
        <w:t xml:space="preserve"> CMLI</w:t>
      </w:r>
      <w:r w:rsidR="00941574" w:rsidRPr="00641D44">
        <w:rPr>
          <w:rFonts w:ascii="Arial" w:hAnsi="Arial" w:cs="Arial"/>
        </w:rPr>
        <w:t>,</w:t>
      </w:r>
      <w:r w:rsidR="00941574" w:rsidRPr="00641D44">
        <w:rPr>
          <w:rFonts w:ascii="Arial" w:hAnsi="Arial" w:cs="Arial"/>
          <w:lang w:eastAsia="en-GB"/>
        </w:rPr>
        <w:t xml:space="preserve"> Senior</w:t>
      </w:r>
      <w:r w:rsidRPr="00641D44">
        <w:rPr>
          <w:rFonts w:ascii="Arial" w:hAnsi="Arial" w:cs="Arial"/>
          <w:lang w:eastAsia="en-GB"/>
        </w:rPr>
        <w:t xml:space="preserve"> Associate Director of Landscape Architecture </w:t>
      </w:r>
      <w:r w:rsidRPr="00641D44">
        <w:rPr>
          <w:rFonts w:ascii="Arial" w:hAnsi="Arial" w:cs="Arial"/>
        </w:rPr>
        <w:t xml:space="preserve">at </w:t>
      </w:r>
      <w:r w:rsidR="00861BEE" w:rsidRPr="00641D44">
        <w:rPr>
          <w:rFonts w:ascii="Arial" w:hAnsi="Arial" w:cs="Arial"/>
        </w:rPr>
        <w:t>Jacobs and Roger English, AONB Partnership Manager</w:t>
      </w:r>
      <w:r w:rsidR="00941574" w:rsidRPr="00641D44">
        <w:rPr>
          <w:rFonts w:ascii="Arial" w:hAnsi="Arial" w:cs="Arial"/>
        </w:rPr>
        <w:t>, who</w:t>
      </w:r>
      <w:r w:rsidR="00861BEE" w:rsidRPr="00641D44">
        <w:rPr>
          <w:rFonts w:ascii="Arial" w:hAnsi="Arial" w:cs="Arial"/>
        </w:rPr>
        <w:t xml:space="preserve"> will be the Council’s expert witnesses on this matter.  </w:t>
      </w:r>
    </w:p>
    <w:p w14:paraId="5854E073" w14:textId="77777777" w:rsidR="00861BEE" w:rsidRPr="00641D44" w:rsidRDefault="00C459BD" w:rsidP="00654146">
      <w:pPr>
        <w:spacing w:line="360" w:lineRule="auto"/>
        <w:ind w:left="720" w:hanging="720"/>
        <w:jc w:val="both"/>
        <w:rPr>
          <w:rFonts w:ascii="Arial" w:hAnsi="Arial" w:cs="Arial"/>
        </w:rPr>
      </w:pPr>
      <w:r w:rsidRPr="00641D44">
        <w:rPr>
          <w:rFonts w:ascii="Arial" w:hAnsi="Arial" w:cs="Arial"/>
        </w:rPr>
        <w:t>2.4</w:t>
      </w:r>
      <w:r w:rsidRPr="00641D44">
        <w:rPr>
          <w:rFonts w:ascii="Arial" w:hAnsi="Arial" w:cs="Arial"/>
        </w:rPr>
        <w:tab/>
      </w:r>
      <w:r w:rsidR="00D13AA5" w:rsidRPr="00641D44">
        <w:rPr>
          <w:rFonts w:ascii="Arial" w:hAnsi="Arial" w:cs="Arial"/>
        </w:rPr>
        <w:t xml:space="preserve">In </w:t>
      </w:r>
      <w:r w:rsidRPr="00641D44">
        <w:rPr>
          <w:rFonts w:ascii="Arial" w:hAnsi="Arial" w:cs="Arial"/>
        </w:rPr>
        <w:t>preparing the Committee Report,</w:t>
      </w:r>
      <w:r w:rsidR="00861BEE" w:rsidRPr="00641D44">
        <w:rPr>
          <w:rFonts w:ascii="Arial" w:hAnsi="Arial" w:cs="Arial"/>
        </w:rPr>
        <w:t xml:space="preserve"> I needed to consider and collate the various landscape evidence in the report</w:t>
      </w:r>
      <w:r w:rsidR="000B088A" w:rsidRPr="00641D44">
        <w:rPr>
          <w:rFonts w:ascii="Arial" w:hAnsi="Arial" w:cs="Arial"/>
        </w:rPr>
        <w:t>. Similarly,</w:t>
      </w:r>
      <w:r w:rsidR="00861BEE" w:rsidRPr="00641D44">
        <w:rPr>
          <w:rFonts w:ascii="Arial" w:hAnsi="Arial" w:cs="Arial"/>
        </w:rPr>
        <w:t xml:space="preserve"> this proof </w:t>
      </w:r>
      <w:r w:rsidR="000B088A" w:rsidRPr="00641D44">
        <w:rPr>
          <w:rFonts w:ascii="Arial" w:hAnsi="Arial" w:cs="Arial"/>
        </w:rPr>
        <w:t>relies on the evidence given in</w:t>
      </w:r>
      <w:r w:rsidR="00861BEE" w:rsidRPr="00641D44">
        <w:rPr>
          <w:rFonts w:ascii="Arial" w:hAnsi="Arial" w:cs="Arial"/>
        </w:rPr>
        <w:t xml:space="preserve"> Mr Knott</w:t>
      </w:r>
      <w:r w:rsidR="000B088A" w:rsidRPr="00641D44">
        <w:rPr>
          <w:rFonts w:ascii="Arial" w:hAnsi="Arial" w:cs="Arial"/>
        </w:rPr>
        <w:t>’s</w:t>
      </w:r>
      <w:r w:rsidR="00861BEE" w:rsidRPr="00641D44">
        <w:rPr>
          <w:rFonts w:ascii="Arial" w:hAnsi="Arial" w:cs="Arial"/>
        </w:rPr>
        <w:t xml:space="preserve"> and </w:t>
      </w:r>
      <w:r w:rsidR="000B088A" w:rsidRPr="00641D44">
        <w:rPr>
          <w:rFonts w:ascii="Arial" w:hAnsi="Arial" w:cs="Arial"/>
        </w:rPr>
        <w:t xml:space="preserve">Mr </w:t>
      </w:r>
      <w:r w:rsidR="00861BEE" w:rsidRPr="00641D44">
        <w:rPr>
          <w:rFonts w:ascii="Arial" w:hAnsi="Arial" w:cs="Arial"/>
        </w:rPr>
        <w:t>English’s assessment</w:t>
      </w:r>
      <w:r w:rsidR="000B088A" w:rsidRPr="00641D44">
        <w:rPr>
          <w:rFonts w:ascii="Arial" w:hAnsi="Arial" w:cs="Arial"/>
        </w:rPr>
        <w:t>s</w:t>
      </w:r>
      <w:r w:rsidR="00861BEE" w:rsidRPr="00641D44">
        <w:rPr>
          <w:rFonts w:ascii="Arial" w:hAnsi="Arial" w:cs="Arial"/>
        </w:rPr>
        <w:t>.</w:t>
      </w:r>
    </w:p>
    <w:p w14:paraId="4B337684" w14:textId="7D9086A4" w:rsidR="00D51CDD" w:rsidRPr="00641D44" w:rsidRDefault="00C34A9A" w:rsidP="00654146">
      <w:pPr>
        <w:spacing w:line="360" w:lineRule="auto"/>
        <w:ind w:left="720" w:hanging="720"/>
        <w:jc w:val="both"/>
        <w:rPr>
          <w:rFonts w:ascii="Times New Roman" w:eastAsia="Times New Roman" w:hAnsi="Times New Roman" w:cs="Times New Roman"/>
          <w:sz w:val="24"/>
          <w:szCs w:val="24"/>
          <w:lang w:eastAsia="en-GB"/>
        </w:rPr>
      </w:pPr>
      <w:r w:rsidRPr="00641D44">
        <w:rPr>
          <w:rFonts w:ascii="Arial" w:hAnsi="Arial" w:cs="Arial"/>
        </w:rPr>
        <w:t>2.5</w:t>
      </w:r>
      <w:r w:rsidRPr="00641D44">
        <w:rPr>
          <w:rFonts w:ascii="Arial" w:hAnsi="Arial" w:cs="Arial"/>
        </w:rPr>
        <w:tab/>
      </w:r>
      <w:r w:rsidR="000B088A" w:rsidRPr="00641D44">
        <w:rPr>
          <w:rFonts w:ascii="Arial" w:hAnsi="Arial" w:cs="Arial"/>
        </w:rPr>
        <w:t>The</w:t>
      </w:r>
      <w:r w:rsidR="00D51CDD" w:rsidRPr="00641D44">
        <w:rPr>
          <w:rFonts w:ascii="Arial" w:hAnsi="Arial" w:cs="Arial"/>
        </w:rPr>
        <w:t xml:space="preserve"> development of rolling farmland within the setting of the AONB would harm the character of the AONB seen from several important vantage points</w:t>
      </w:r>
      <w:r w:rsidR="008C371B" w:rsidRPr="00641D44">
        <w:rPr>
          <w:rFonts w:ascii="Arial" w:hAnsi="Arial" w:cs="Arial"/>
        </w:rPr>
        <w:t>. These are principally when seen from raised public vantage points within the AONB above Dittisham across the River Dart</w:t>
      </w:r>
      <w:r w:rsidR="00654146" w:rsidRPr="00641D44">
        <w:rPr>
          <w:rFonts w:ascii="Arial" w:hAnsi="Arial" w:cs="Arial"/>
        </w:rPr>
        <w:t xml:space="preserve">, </w:t>
      </w:r>
      <w:r w:rsidR="008C371B" w:rsidRPr="00641D44">
        <w:rPr>
          <w:rFonts w:ascii="Arial" w:hAnsi="Arial" w:cs="Arial"/>
        </w:rPr>
        <w:t xml:space="preserve">and from public rights of way to the south of Galmpton. </w:t>
      </w:r>
      <w:r w:rsidR="00D51CDD" w:rsidRPr="00641D44">
        <w:rPr>
          <w:rFonts w:ascii="Arial" w:hAnsi="Arial" w:cs="Arial"/>
        </w:rPr>
        <w:t xml:space="preserve"> </w:t>
      </w:r>
      <w:r w:rsidR="00654146" w:rsidRPr="00641D44">
        <w:rPr>
          <w:rFonts w:ascii="Arial" w:hAnsi="Arial" w:cs="Arial"/>
        </w:rPr>
        <w:t xml:space="preserve">Policy </w:t>
      </w:r>
      <w:r w:rsidR="000B088A" w:rsidRPr="00641D44">
        <w:rPr>
          <w:rFonts w:ascii="Arial" w:hAnsi="Arial" w:cs="Arial"/>
        </w:rPr>
        <w:t xml:space="preserve">relating </w:t>
      </w:r>
      <w:r w:rsidR="00D51CDD" w:rsidRPr="00641D44">
        <w:rPr>
          <w:rFonts w:ascii="Arial" w:hAnsi="Arial" w:cs="Arial"/>
        </w:rPr>
        <w:t>to</w:t>
      </w:r>
      <w:r w:rsidR="000B088A" w:rsidRPr="00641D44">
        <w:rPr>
          <w:rFonts w:ascii="Arial" w:hAnsi="Arial" w:cs="Arial"/>
        </w:rPr>
        <w:t xml:space="preserve"> </w:t>
      </w:r>
      <w:r w:rsidR="00D51CDD" w:rsidRPr="00641D44">
        <w:rPr>
          <w:rFonts w:ascii="Arial" w:hAnsi="Arial" w:cs="Arial"/>
        </w:rPr>
        <w:t>AONB</w:t>
      </w:r>
      <w:r w:rsidR="000B088A" w:rsidRPr="00641D44">
        <w:rPr>
          <w:rFonts w:ascii="Arial" w:hAnsi="Arial" w:cs="Arial"/>
        </w:rPr>
        <w:t>s</w:t>
      </w:r>
      <w:r w:rsidR="00D51CDD" w:rsidRPr="00641D44">
        <w:rPr>
          <w:rFonts w:ascii="Arial" w:hAnsi="Arial" w:cs="Arial"/>
        </w:rPr>
        <w:t xml:space="preserve"> is a matter covered under footnote 6 of the NPPF and </w:t>
      </w:r>
      <w:r w:rsidR="000B088A" w:rsidRPr="00641D44">
        <w:rPr>
          <w:rFonts w:ascii="Arial" w:hAnsi="Arial" w:cs="Arial"/>
        </w:rPr>
        <w:t xml:space="preserve">so </w:t>
      </w:r>
      <w:r w:rsidR="00D51CDD" w:rsidRPr="00641D44">
        <w:rPr>
          <w:rFonts w:ascii="Arial" w:hAnsi="Arial" w:cs="Arial"/>
        </w:rPr>
        <w:t xml:space="preserve">consideration of </w:t>
      </w:r>
      <w:r w:rsidR="00DB19AB" w:rsidRPr="00641D44">
        <w:rPr>
          <w:rFonts w:ascii="Arial" w:hAnsi="Arial" w:cs="Arial"/>
        </w:rPr>
        <w:t xml:space="preserve">impact on the AONB </w:t>
      </w:r>
      <w:r w:rsidR="00D51CDD" w:rsidRPr="00641D44">
        <w:rPr>
          <w:rFonts w:ascii="Arial" w:hAnsi="Arial" w:cs="Arial"/>
        </w:rPr>
        <w:t xml:space="preserve">falls </w:t>
      </w:r>
      <w:r w:rsidR="000B088A" w:rsidRPr="00641D44">
        <w:rPr>
          <w:rFonts w:ascii="Arial" w:hAnsi="Arial" w:cs="Arial"/>
        </w:rPr>
        <w:t xml:space="preserve">to be made </w:t>
      </w:r>
      <w:r w:rsidR="00D51CDD" w:rsidRPr="00641D44">
        <w:rPr>
          <w:rFonts w:ascii="Arial" w:hAnsi="Arial" w:cs="Arial"/>
        </w:rPr>
        <w:t xml:space="preserve">under </w:t>
      </w:r>
      <w:r w:rsidR="000B088A" w:rsidRPr="00641D44">
        <w:rPr>
          <w:rFonts w:ascii="Arial" w:hAnsi="Arial" w:cs="Arial"/>
        </w:rPr>
        <w:t>p</w:t>
      </w:r>
      <w:r w:rsidR="00D51CDD" w:rsidRPr="00641D44">
        <w:rPr>
          <w:rFonts w:ascii="Arial" w:hAnsi="Arial" w:cs="Arial"/>
        </w:rPr>
        <w:t>aragraph 11</w:t>
      </w:r>
      <w:r w:rsidR="000B088A" w:rsidRPr="00641D44">
        <w:rPr>
          <w:rFonts w:ascii="Arial" w:hAnsi="Arial" w:cs="Arial"/>
        </w:rPr>
        <w:t>(</w:t>
      </w:r>
      <w:r w:rsidR="00D51CDD" w:rsidRPr="00641D44">
        <w:rPr>
          <w:rFonts w:ascii="Arial" w:hAnsi="Arial" w:cs="Arial"/>
        </w:rPr>
        <w:t>d)</w:t>
      </w:r>
      <w:proofErr w:type="spellStart"/>
      <w:r w:rsidR="00D51CDD" w:rsidRPr="00641D44">
        <w:rPr>
          <w:rFonts w:ascii="Arial" w:hAnsi="Arial" w:cs="Arial"/>
        </w:rPr>
        <w:t>i</w:t>
      </w:r>
      <w:proofErr w:type="spellEnd"/>
      <w:r w:rsidR="00D51CDD" w:rsidRPr="00641D44">
        <w:rPr>
          <w:rFonts w:ascii="Arial" w:hAnsi="Arial" w:cs="Arial"/>
        </w:rPr>
        <w:t xml:space="preserve"> of the NPPF</w:t>
      </w:r>
      <w:r w:rsidR="00654146" w:rsidRPr="00641D44">
        <w:rPr>
          <w:rFonts w:ascii="Arial" w:hAnsi="Arial" w:cs="Arial"/>
        </w:rPr>
        <w:t>;</w:t>
      </w:r>
      <w:r w:rsidR="00D51CDD" w:rsidRPr="00641D44">
        <w:rPr>
          <w:rFonts w:ascii="Arial" w:hAnsi="Arial" w:cs="Arial"/>
        </w:rPr>
        <w:t xml:space="preserve"> i.e. the ”tilted balance” </w:t>
      </w:r>
      <w:r w:rsidR="000B088A" w:rsidRPr="00641D44">
        <w:rPr>
          <w:rFonts w:ascii="Arial" w:hAnsi="Arial" w:cs="Arial"/>
        </w:rPr>
        <w:t>may not be</w:t>
      </w:r>
      <w:r w:rsidR="00D51CDD" w:rsidRPr="00641D44">
        <w:rPr>
          <w:rFonts w:ascii="Arial" w:hAnsi="Arial" w:cs="Arial"/>
        </w:rPr>
        <w:t xml:space="preserve"> engaged in determining </w:t>
      </w:r>
      <w:r w:rsidR="00DB19AB" w:rsidRPr="00641D44">
        <w:rPr>
          <w:rFonts w:ascii="Arial" w:hAnsi="Arial" w:cs="Arial"/>
        </w:rPr>
        <w:t xml:space="preserve">this aspect of </w:t>
      </w:r>
      <w:r w:rsidR="00D51CDD" w:rsidRPr="00641D44">
        <w:rPr>
          <w:rFonts w:ascii="Arial" w:hAnsi="Arial" w:cs="Arial"/>
        </w:rPr>
        <w:t xml:space="preserve">the application.  </w:t>
      </w:r>
      <w:r w:rsidRPr="00641D44">
        <w:rPr>
          <w:rFonts w:ascii="Arial" w:hAnsi="Arial" w:cs="Arial"/>
        </w:rPr>
        <w:t xml:space="preserve">Whilst the proposal is outside of the AONB, and therefore the tests in the second part of </w:t>
      </w:r>
      <w:r w:rsidR="000B088A" w:rsidRPr="00641D44">
        <w:rPr>
          <w:rFonts w:ascii="Arial" w:hAnsi="Arial" w:cs="Arial"/>
        </w:rPr>
        <w:t>p</w:t>
      </w:r>
      <w:r w:rsidRPr="00641D44">
        <w:rPr>
          <w:rFonts w:ascii="Arial" w:hAnsi="Arial" w:cs="Arial"/>
        </w:rPr>
        <w:t xml:space="preserve">aragraph 172 of the NPPF are not engaged; the </w:t>
      </w:r>
      <w:r w:rsidR="000B088A" w:rsidRPr="00641D44">
        <w:rPr>
          <w:rFonts w:ascii="Arial" w:hAnsi="Arial" w:cs="Arial"/>
        </w:rPr>
        <w:t>c</w:t>
      </w:r>
      <w:r w:rsidRPr="00641D44">
        <w:rPr>
          <w:rFonts w:ascii="Arial" w:hAnsi="Arial" w:cs="Arial"/>
        </w:rPr>
        <w:t>ourts have ruled that the first part of paragraph 172 can constitute a clear reason for refusal</w:t>
      </w:r>
      <w:r w:rsidRPr="00641D44">
        <w:rPr>
          <w:rStyle w:val="FootnoteReference"/>
          <w:rFonts w:ascii="Arial" w:hAnsi="Arial" w:cs="Arial"/>
        </w:rPr>
        <w:footnoteReference w:id="1"/>
      </w:r>
      <w:r w:rsidR="000B088A" w:rsidRPr="00641D44">
        <w:rPr>
          <w:rFonts w:ascii="Arial" w:hAnsi="Arial" w:cs="Arial"/>
        </w:rPr>
        <w:t xml:space="preserve"> and </w:t>
      </w:r>
      <w:r w:rsidR="000B088A" w:rsidRPr="00641D44">
        <w:rPr>
          <w:rFonts w:ascii="Arial" w:eastAsia="Times New Roman" w:hAnsi="Arial" w:cs="Arial"/>
          <w:shd w:val="clear" w:color="auto" w:fill="FFFFFF"/>
          <w:lang w:eastAsia="en-GB"/>
        </w:rPr>
        <w:t>that policies relating to conserving and enhancing the beauty in an </w:t>
      </w:r>
      <w:r w:rsidR="000B088A" w:rsidRPr="00641D44">
        <w:rPr>
          <w:rFonts w:ascii="Arial" w:eastAsia="Times New Roman" w:hAnsi="Arial" w:cs="Arial"/>
          <w:bdr w:val="none" w:sz="0" w:space="0" w:color="auto" w:frame="1"/>
          <w:lang w:eastAsia="en-GB"/>
        </w:rPr>
        <w:t>AONB</w:t>
      </w:r>
      <w:r w:rsidR="000B088A" w:rsidRPr="00641D44">
        <w:rPr>
          <w:rFonts w:ascii="Arial" w:eastAsia="Times New Roman" w:hAnsi="Arial" w:cs="Arial"/>
          <w:shd w:val="clear" w:color="auto" w:fill="FFFFFF"/>
          <w:lang w:eastAsia="en-GB"/>
        </w:rPr>
        <w:t> are engaged when harm is caused to views looking out of it.</w:t>
      </w:r>
      <w:r w:rsidR="000B088A" w:rsidRPr="00641D44">
        <w:rPr>
          <w:rStyle w:val="FootnoteReference"/>
          <w:rFonts w:ascii="Arial" w:eastAsia="Times New Roman" w:hAnsi="Arial" w:cs="Arial"/>
          <w:shd w:val="clear" w:color="auto" w:fill="FFFFFF"/>
          <w:lang w:eastAsia="en-GB"/>
        </w:rPr>
        <w:footnoteReference w:id="2"/>
      </w:r>
    </w:p>
    <w:p w14:paraId="10567E86" w14:textId="5CE4B221" w:rsidR="00C34A9A" w:rsidRPr="00641D44" w:rsidRDefault="00C34A9A" w:rsidP="00654146">
      <w:pPr>
        <w:spacing w:line="360" w:lineRule="auto"/>
        <w:ind w:left="720" w:hanging="720"/>
        <w:jc w:val="both"/>
        <w:rPr>
          <w:rFonts w:ascii="Arial" w:hAnsi="Arial" w:cs="Arial"/>
        </w:rPr>
      </w:pPr>
      <w:r w:rsidRPr="00641D44">
        <w:rPr>
          <w:rFonts w:ascii="Arial" w:hAnsi="Arial" w:cs="Arial"/>
        </w:rPr>
        <w:t>2.6</w:t>
      </w:r>
      <w:r w:rsidRPr="00641D44">
        <w:rPr>
          <w:rFonts w:ascii="Arial" w:hAnsi="Arial" w:cs="Arial"/>
        </w:rPr>
        <w:tab/>
      </w:r>
      <w:r w:rsidR="00D51CDD" w:rsidRPr="00641D44">
        <w:rPr>
          <w:rFonts w:ascii="Arial" w:hAnsi="Arial" w:cs="Arial"/>
        </w:rPr>
        <w:t xml:space="preserve">Whilst the harm to the Brixham Peninsula Neighbourhood Plan’s settlement gap (Policy E3) and vista towards the AONB (Policy E6) </w:t>
      </w:r>
      <w:r w:rsidRPr="00641D44">
        <w:rPr>
          <w:rFonts w:ascii="Arial" w:hAnsi="Arial" w:cs="Arial"/>
        </w:rPr>
        <w:t>are more local considerations</w:t>
      </w:r>
      <w:r w:rsidR="000B088A" w:rsidRPr="00641D44">
        <w:rPr>
          <w:rFonts w:ascii="Arial" w:hAnsi="Arial" w:cs="Arial"/>
        </w:rPr>
        <w:t xml:space="preserve"> (and the latter “reverse view”</w:t>
      </w:r>
      <w:r w:rsidR="00A741E9" w:rsidRPr="00641D44">
        <w:rPr>
          <w:rFonts w:ascii="Arial" w:hAnsi="Arial" w:cs="Arial"/>
        </w:rPr>
        <w:t xml:space="preserve"> into the AONB</w:t>
      </w:r>
      <w:r w:rsidR="000B088A" w:rsidRPr="00641D44">
        <w:rPr>
          <w:rFonts w:ascii="Arial" w:hAnsi="Arial" w:cs="Arial"/>
        </w:rPr>
        <w:t xml:space="preserve"> does not engage paragraph 172 of the NPPF)</w:t>
      </w:r>
      <w:r w:rsidR="00D51CDD" w:rsidRPr="00641D44">
        <w:rPr>
          <w:rFonts w:ascii="Arial" w:hAnsi="Arial" w:cs="Arial"/>
        </w:rPr>
        <w:t xml:space="preserve">, </w:t>
      </w:r>
      <w:r w:rsidRPr="00641D44">
        <w:rPr>
          <w:rFonts w:ascii="Arial" w:hAnsi="Arial" w:cs="Arial"/>
        </w:rPr>
        <w:t xml:space="preserve">the landscape harm would be significant and demonstrable.  </w:t>
      </w:r>
      <w:r w:rsidR="00172C41" w:rsidRPr="00641D44">
        <w:rPr>
          <w:rFonts w:ascii="Arial" w:hAnsi="Arial" w:cs="Arial"/>
        </w:rPr>
        <w:t xml:space="preserve">The sense of openness </w:t>
      </w:r>
      <w:r w:rsidR="00ED2807" w:rsidRPr="00641D44">
        <w:rPr>
          <w:rFonts w:ascii="Arial" w:hAnsi="Arial" w:cs="Arial"/>
        </w:rPr>
        <w:t xml:space="preserve">that </w:t>
      </w:r>
      <w:r w:rsidR="00172C41" w:rsidRPr="00641D44">
        <w:rPr>
          <w:rFonts w:ascii="Arial" w:hAnsi="Arial" w:cs="Arial"/>
        </w:rPr>
        <w:t xml:space="preserve">opens up when travelling south past White Rock and over White Rock Knoll represents a significant change in the landscape character to open rolling farmland, with clear vistas towards the Dart Valley.   This is experienced by many thousands of </w:t>
      </w:r>
      <w:r w:rsidR="00172C41" w:rsidRPr="00641D44">
        <w:rPr>
          <w:rFonts w:ascii="Arial" w:hAnsi="Arial" w:cs="Arial"/>
        </w:rPr>
        <w:lastRenderedPageBreak/>
        <w:t xml:space="preserve">people every day, both residents and tourists, who visit the area for its scenic beauty.  </w:t>
      </w:r>
      <w:r w:rsidRPr="00641D44">
        <w:rPr>
          <w:rFonts w:ascii="Arial" w:hAnsi="Arial" w:cs="Arial"/>
        </w:rPr>
        <w:t xml:space="preserve">The open rolling landscape with vistas towards the Dart Valley is </w:t>
      </w:r>
      <w:r w:rsidR="00397E86" w:rsidRPr="00641D44">
        <w:rPr>
          <w:rFonts w:ascii="Arial" w:hAnsi="Arial" w:cs="Arial"/>
        </w:rPr>
        <w:t>of significant value</w:t>
      </w:r>
      <w:r w:rsidR="005B17EE" w:rsidRPr="00641D44">
        <w:rPr>
          <w:rFonts w:ascii="Arial" w:hAnsi="Arial" w:cs="Arial"/>
        </w:rPr>
        <w:t xml:space="preserve"> to residents and visitors</w:t>
      </w:r>
      <w:r w:rsidRPr="00641D44">
        <w:rPr>
          <w:rFonts w:ascii="Arial" w:hAnsi="Arial" w:cs="Arial"/>
        </w:rPr>
        <w:t xml:space="preserve">, that in accordance with </w:t>
      </w:r>
      <w:r w:rsidR="000B088A" w:rsidRPr="00641D44">
        <w:rPr>
          <w:rFonts w:ascii="Arial" w:hAnsi="Arial" w:cs="Arial"/>
        </w:rPr>
        <w:t>p</w:t>
      </w:r>
      <w:r w:rsidRPr="00641D44">
        <w:rPr>
          <w:rFonts w:ascii="Arial" w:hAnsi="Arial" w:cs="Arial"/>
        </w:rPr>
        <w:t xml:space="preserve">aragraph 170 a) and b) is rightly protected by the BPNP as well as Policy C1 of the Local Plan.  </w:t>
      </w:r>
    </w:p>
    <w:p w14:paraId="6140829D" w14:textId="77777777" w:rsidR="00861BEE" w:rsidRPr="00641D44" w:rsidRDefault="00C34A9A" w:rsidP="00654146">
      <w:pPr>
        <w:spacing w:line="360" w:lineRule="auto"/>
        <w:ind w:left="720" w:hanging="720"/>
        <w:jc w:val="both"/>
        <w:rPr>
          <w:rFonts w:ascii="Arial" w:hAnsi="Arial" w:cs="Arial"/>
        </w:rPr>
      </w:pPr>
      <w:r w:rsidRPr="00641D44">
        <w:rPr>
          <w:rFonts w:ascii="Arial" w:hAnsi="Arial" w:cs="Arial"/>
        </w:rPr>
        <w:t>2.</w:t>
      </w:r>
      <w:r w:rsidR="00172C41" w:rsidRPr="00641D44">
        <w:rPr>
          <w:rFonts w:ascii="Arial" w:hAnsi="Arial" w:cs="Arial"/>
        </w:rPr>
        <w:t>7</w:t>
      </w:r>
      <w:r w:rsidRPr="00641D44">
        <w:rPr>
          <w:rFonts w:ascii="Arial" w:hAnsi="Arial" w:cs="Arial"/>
        </w:rPr>
        <w:tab/>
      </w:r>
      <w:r w:rsidR="00861BEE" w:rsidRPr="00641D44">
        <w:rPr>
          <w:rFonts w:ascii="Arial" w:hAnsi="Arial" w:cs="Arial"/>
          <w:b/>
        </w:rPr>
        <w:t>Issue 2: HRA Matters</w:t>
      </w:r>
      <w:r w:rsidR="00861BEE" w:rsidRPr="00641D44">
        <w:rPr>
          <w:rFonts w:ascii="Arial" w:hAnsi="Arial" w:cs="Arial"/>
        </w:rPr>
        <w:t xml:space="preserve">. The LPA’s assessment of the ecological impact is considered in the Officer Report, Statement of Common Ground and Appropriate Assessment. </w:t>
      </w:r>
      <w:r w:rsidR="00F53398" w:rsidRPr="00641D44">
        <w:rPr>
          <w:rFonts w:ascii="Arial" w:hAnsi="Arial" w:cs="Arial"/>
        </w:rPr>
        <w:t xml:space="preserve">The LPA is no longer the competent authority, but considers that mitigation measures set out in the draft S106 Agreement are capable of avoiding likely significant effects on the South Hams SAC.  </w:t>
      </w:r>
    </w:p>
    <w:p w14:paraId="02DFBA20" w14:textId="36928A9E" w:rsidR="00861BEE" w:rsidRPr="00641D44" w:rsidRDefault="003C6266" w:rsidP="00654146">
      <w:pPr>
        <w:spacing w:line="360" w:lineRule="auto"/>
        <w:ind w:left="720" w:hanging="720"/>
        <w:jc w:val="both"/>
        <w:rPr>
          <w:rFonts w:ascii="Arial" w:hAnsi="Arial" w:cs="Arial"/>
        </w:rPr>
      </w:pPr>
      <w:r w:rsidRPr="00641D44">
        <w:rPr>
          <w:rFonts w:ascii="Arial" w:hAnsi="Arial" w:cs="Arial"/>
        </w:rPr>
        <w:t>3.</w:t>
      </w:r>
      <w:r w:rsidR="00172C41" w:rsidRPr="00641D44">
        <w:rPr>
          <w:rFonts w:ascii="Arial" w:hAnsi="Arial" w:cs="Arial"/>
        </w:rPr>
        <w:tab/>
      </w:r>
      <w:r w:rsidR="00861BEE" w:rsidRPr="00641D44">
        <w:rPr>
          <w:rFonts w:ascii="Arial" w:hAnsi="Arial" w:cs="Arial"/>
          <w:b/>
        </w:rPr>
        <w:t>Issue 3</w:t>
      </w:r>
      <w:r w:rsidR="00941574" w:rsidRPr="00641D44">
        <w:rPr>
          <w:rFonts w:ascii="Arial" w:hAnsi="Arial" w:cs="Arial"/>
          <w:b/>
        </w:rPr>
        <w:t>:</w:t>
      </w:r>
      <w:r w:rsidR="00861BEE" w:rsidRPr="00641D44">
        <w:rPr>
          <w:rFonts w:ascii="Arial" w:hAnsi="Arial" w:cs="Arial"/>
          <w:b/>
        </w:rPr>
        <w:t xml:space="preserve"> The suitability of the site for </w:t>
      </w:r>
      <w:r w:rsidR="00AD6D9C" w:rsidRPr="00641D44">
        <w:rPr>
          <w:rFonts w:ascii="Arial" w:hAnsi="Arial" w:cs="Arial"/>
          <w:b/>
        </w:rPr>
        <w:t>development</w:t>
      </w:r>
      <w:r w:rsidR="00AD6D9C" w:rsidRPr="00641D44">
        <w:rPr>
          <w:rFonts w:ascii="Arial" w:hAnsi="Arial" w:cs="Arial"/>
        </w:rPr>
        <w:t xml:space="preserve"> </w:t>
      </w:r>
    </w:p>
    <w:p w14:paraId="3A8F0329" w14:textId="50ADF22A" w:rsidR="005A1E7E" w:rsidRPr="00641D44" w:rsidRDefault="00172C41" w:rsidP="003C6266">
      <w:pPr>
        <w:spacing w:line="360" w:lineRule="auto"/>
        <w:ind w:left="720" w:hanging="720"/>
        <w:rPr>
          <w:rFonts w:ascii="Arial" w:hAnsi="Arial" w:cs="Arial"/>
        </w:rPr>
      </w:pPr>
      <w:r w:rsidRPr="00641D44">
        <w:rPr>
          <w:rFonts w:ascii="Arial" w:hAnsi="Arial" w:cs="Arial"/>
        </w:rPr>
        <w:t>3.1</w:t>
      </w:r>
      <w:r w:rsidR="0072052E" w:rsidRPr="00641D44">
        <w:rPr>
          <w:rFonts w:ascii="Arial" w:hAnsi="Arial" w:cs="Arial"/>
        </w:rPr>
        <w:tab/>
      </w:r>
      <w:r w:rsidR="003C6266" w:rsidRPr="00641D44">
        <w:rPr>
          <w:rFonts w:ascii="Arial" w:hAnsi="Arial" w:cs="Arial"/>
        </w:rPr>
        <w:t xml:space="preserve">My evidence will focus upon this issue, whilst noting that it is intrinsically tied up with issue 1 landscape, above. </w:t>
      </w:r>
      <w:r w:rsidR="005A1E7E" w:rsidRPr="00641D44">
        <w:rPr>
          <w:rFonts w:ascii="Arial" w:hAnsi="Arial" w:cs="Arial"/>
        </w:rPr>
        <w:t>Th</w:t>
      </w:r>
      <w:r w:rsidR="0072052E" w:rsidRPr="00641D44">
        <w:rPr>
          <w:rFonts w:ascii="Arial" w:hAnsi="Arial" w:cs="Arial"/>
        </w:rPr>
        <w:t>e next sections cover the following matters:</w:t>
      </w:r>
    </w:p>
    <w:p w14:paraId="1B78FD89" w14:textId="77777777" w:rsidR="005A1E7E" w:rsidRPr="00641D44" w:rsidRDefault="005A1E7E" w:rsidP="0072052E">
      <w:pPr>
        <w:pStyle w:val="ListParagraph"/>
        <w:numPr>
          <w:ilvl w:val="0"/>
          <w:numId w:val="30"/>
        </w:numPr>
        <w:spacing w:line="360" w:lineRule="auto"/>
        <w:rPr>
          <w:rFonts w:ascii="Arial" w:hAnsi="Arial" w:cs="Arial"/>
        </w:rPr>
      </w:pPr>
      <w:r w:rsidRPr="00641D44">
        <w:rPr>
          <w:rFonts w:ascii="Arial" w:hAnsi="Arial" w:cs="Arial"/>
        </w:rPr>
        <w:t xml:space="preserve">An update of development plan considerations since the Committee </w:t>
      </w:r>
      <w:r w:rsidR="000B088A" w:rsidRPr="00641D44">
        <w:rPr>
          <w:rFonts w:ascii="Arial" w:hAnsi="Arial" w:cs="Arial"/>
        </w:rPr>
        <w:t>R</w:t>
      </w:r>
      <w:r w:rsidRPr="00641D44">
        <w:rPr>
          <w:rFonts w:ascii="Arial" w:hAnsi="Arial" w:cs="Arial"/>
        </w:rPr>
        <w:t xml:space="preserve">eport was presented on 10 February 2020. </w:t>
      </w:r>
    </w:p>
    <w:p w14:paraId="0BA328BF" w14:textId="175DFBF6" w:rsidR="005A1E7E" w:rsidRPr="00641D44" w:rsidRDefault="005A1E7E" w:rsidP="0072052E">
      <w:pPr>
        <w:pStyle w:val="ListParagraph"/>
        <w:numPr>
          <w:ilvl w:val="0"/>
          <w:numId w:val="30"/>
        </w:numPr>
        <w:spacing w:line="360" w:lineRule="auto"/>
        <w:rPr>
          <w:rFonts w:ascii="Arial" w:hAnsi="Arial" w:cs="Arial"/>
        </w:rPr>
      </w:pPr>
      <w:r w:rsidRPr="00641D44">
        <w:rPr>
          <w:rFonts w:ascii="Arial" w:hAnsi="Arial" w:cs="Arial"/>
        </w:rPr>
        <w:t>A brief recap of the site</w:t>
      </w:r>
      <w:r w:rsidR="008C371B" w:rsidRPr="00641D44">
        <w:rPr>
          <w:rFonts w:ascii="Arial" w:hAnsi="Arial" w:cs="Arial"/>
        </w:rPr>
        <w:t>’</w:t>
      </w:r>
      <w:r w:rsidRPr="00641D44">
        <w:rPr>
          <w:rFonts w:ascii="Arial" w:hAnsi="Arial" w:cs="Arial"/>
        </w:rPr>
        <w:t>s history</w:t>
      </w:r>
      <w:r w:rsidR="00223598" w:rsidRPr="00641D44">
        <w:rPr>
          <w:rFonts w:ascii="Arial" w:hAnsi="Arial" w:cs="Arial"/>
        </w:rPr>
        <w:t xml:space="preserve"> setting out </w:t>
      </w:r>
      <w:r w:rsidR="00442BFF" w:rsidRPr="00641D44">
        <w:rPr>
          <w:rFonts w:ascii="Arial" w:hAnsi="Arial" w:cs="Arial"/>
        </w:rPr>
        <w:t xml:space="preserve">that </w:t>
      </w:r>
      <w:r w:rsidR="00223598" w:rsidRPr="00641D44">
        <w:rPr>
          <w:rFonts w:ascii="Arial" w:hAnsi="Arial" w:cs="Arial"/>
        </w:rPr>
        <w:t xml:space="preserve">the Council has supported development up to </w:t>
      </w:r>
      <w:r w:rsidR="00ED2807" w:rsidRPr="00641D44">
        <w:rPr>
          <w:rFonts w:ascii="Arial" w:hAnsi="Arial" w:cs="Arial"/>
        </w:rPr>
        <w:t>the White</w:t>
      </w:r>
      <w:r w:rsidR="00223598" w:rsidRPr="00641D44">
        <w:rPr>
          <w:rFonts w:ascii="Arial" w:hAnsi="Arial" w:cs="Arial"/>
        </w:rPr>
        <w:t xml:space="preserve"> Rock development</w:t>
      </w:r>
      <w:r w:rsidR="00ED2807" w:rsidRPr="00641D44">
        <w:rPr>
          <w:rFonts w:ascii="Arial" w:hAnsi="Arial" w:cs="Arial"/>
        </w:rPr>
        <w:t xml:space="preserve"> currently being built out</w:t>
      </w:r>
      <w:r w:rsidR="00223598" w:rsidRPr="00641D44">
        <w:rPr>
          <w:rFonts w:ascii="Arial" w:hAnsi="Arial" w:cs="Arial"/>
        </w:rPr>
        <w:t>; but why developing further</w:t>
      </w:r>
      <w:r w:rsidR="00ED2807" w:rsidRPr="00641D44">
        <w:rPr>
          <w:rFonts w:ascii="Arial" w:hAnsi="Arial" w:cs="Arial"/>
        </w:rPr>
        <w:t xml:space="preserve"> </w:t>
      </w:r>
      <w:r w:rsidR="00442BFF" w:rsidRPr="00641D44">
        <w:rPr>
          <w:rFonts w:ascii="Arial" w:hAnsi="Arial" w:cs="Arial"/>
        </w:rPr>
        <w:t>southwards over</w:t>
      </w:r>
      <w:r w:rsidR="00223598" w:rsidRPr="00641D44">
        <w:rPr>
          <w:rFonts w:ascii="Arial" w:hAnsi="Arial" w:cs="Arial"/>
        </w:rPr>
        <w:t xml:space="preserve"> the ridge of higher ground </w:t>
      </w:r>
      <w:r w:rsidR="00ED2807" w:rsidRPr="00641D44">
        <w:rPr>
          <w:rFonts w:ascii="Arial" w:hAnsi="Arial" w:cs="Arial"/>
        </w:rPr>
        <w:t xml:space="preserve">would </w:t>
      </w:r>
      <w:r w:rsidR="00FC7A06" w:rsidRPr="00641D44">
        <w:rPr>
          <w:rFonts w:ascii="Arial" w:hAnsi="Arial" w:cs="Arial"/>
        </w:rPr>
        <w:t>cross</w:t>
      </w:r>
      <w:r w:rsidR="00ED2807" w:rsidRPr="00641D44">
        <w:rPr>
          <w:rFonts w:ascii="Arial" w:hAnsi="Arial" w:cs="Arial"/>
        </w:rPr>
        <w:t xml:space="preserve"> an important </w:t>
      </w:r>
      <w:r w:rsidR="00442BFF" w:rsidRPr="00641D44">
        <w:rPr>
          <w:rFonts w:ascii="Arial" w:hAnsi="Arial" w:cs="Arial"/>
        </w:rPr>
        <w:t xml:space="preserve">Rubicon in terms of landscape impact. </w:t>
      </w:r>
    </w:p>
    <w:p w14:paraId="0D5ECECD" w14:textId="2D19CB3A" w:rsidR="00DE151F" w:rsidRPr="00641D44" w:rsidRDefault="00DE151F" w:rsidP="0072052E">
      <w:pPr>
        <w:pStyle w:val="ListParagraph"/>
        <w:numPr>
          <w:ilvl w:val="0"/>
          <w:numId w:val="30"/>
        </w:numPr>
        <w:spacing w:line="360" w:lineRule="auto"/>
        <w:rPr>
          <w:rFonts w:ascii="Arial" w:hAnsi="Arial" w:cs="Arial"/>
        </w:rPr>
      </w:pPr>
      <w:r w:rsidRPr="00641D44">
        <w:rPr>
          <w:rFonts w:ascii="Arial" w:hAnsi="Arial" w:cs="Arial"/>
        </w:rPr>
        <w:t xml:space="preserve">An assessment of the </w:t>
      </w:r>
      <w:r w:rsidR="00397E86" w:rsidRPr="00641D44">
        <w:rPr>
          <w:rFonts w:ascii="Arial" w:hAnsi="Arial" w:cs="Arial"/>
        </w:rPr>
        <w:t>c</w:t>
      </w:r>
      <w:r w:rsidRPr="00641D44">
        <w:rPr>
          <w:rFonts w:ascii="Arial" w:hAnsi="Arial" w:cs="Arial"/>
        </w:rPr>
        <w:t xml:space="preserve">onflict with the Brixham Peninsula Neighbourhood Plan </w:t>
      </w:r>
    </w:p>
    <w:p w14:paraId="093056C8" w14:textId="77777777" w:rsidR="00452753" w:rsidRPr="00641D44" w:rsidRDefault="00452753" w:rsidP="0072052E">
      <w:pPr>
        <w:pStyle w:val="ListParagraph"/>
        <w:numPr>
          <w:ilvl w:val="0"/>
          <w:numId w:val="30"/>
        </w:numPr>
        <w:spacing w:line="360" w:lineRule="auto"/>
        <w:rPr>
          <w:rFonts w:ascii="Arial" w:hAnsi="Arial" w:cs="Arial"/>
        </w:rPr>
      </w:pPr>
      <w:r w:rsidRPr="00641D44">
        <w:rPr>
          <w:rFonts w:ascii="Arial" w:hAnsi="Arial" w:cs="Arial"/>
        </w:rPr>
        <w:t>An assessment of the conflict with the adopted Torbay Local Plan.</w:t>
      </w:r>
    </w:p>
    <w:p w14:paraId="1E7DF500" w14:textId="1FCA77C9" w:rsidR="00D51CDD" w:rsidRPr="00641D44" w:rsidRDefault="00DE151F" w:rsidP="0072052E">
      <w:pPr>
        <w:pStyle w:val="ListParagraph"/>
        <w:numPr>
          <w:ilvl w:val="0"/>
          <w:numId w:val="30"/>
        </w:numPr>
        <w:spacing w:line="360" w:lineRule="auto"/>
        <w:rPr>
          <w:rFonts w:ascii="Arial" w:hAnsi="Arial" w:cs="Arial"/>
        </w:rPr>
      </w:pPr>
      <w:r w:rsidRPr="00641D44">
        <w:rPr>
          <w:rFonts w:ascii="Arial" w:hAnsi="Arial" w:cs="Arial"/>
        </w:rPr>
        <w:t xml:space="preserve">A justification </w:t>
      </w:r>
      <w:r w:rsidR="00397E86" w:rsidRPr="00641D44">
        <w:rPr>
          <w:rFonts w:ascii="Arial" w:hAnsi="Arial" w:cs="Arial"/>
        </w:rPr>
        <w:t>that</w:t>
      </w:r>
      <w:r w:rsidRPr="00641D44">
        <w:rPr>
          <w:rFonts w:ascii="Arial" w:hAnsi="Arial" w:cs="Arial"/>
        </w:rPr>
        <w:t xml:space="preserve"> the proposal fails </w:t>
      </w:r>
      <w:r w:rsidR="000B3109" w:rsidRPr="00641D44">
        <w:rPr>
          <w:rFonts w:ascii="Arial" w:hAnsi="Arial" w:cs="Arial"/>
        </w:rPr>
        <w:t xml:space="preserve">to </w:t>
      </w:r>
      <w:r w:rsidR="00397E86" w:rsidRPr="00641D44">
        <w:rPr>
          <w:rFonts w:ascii="Arial" w:hAnsi="Arial" w:cs="Arial"/>
        </w:rPr>
        <w:t>satisfy</w:t>
      </w:r>
      <w:r w:rsidR="000B3109" w:rsidRPr="00641D44">
        <w:rPr>
          <w:rFonts w:ascii="Arial" w:hAnsi="Arial" w:cs="Arial"/>
        </w:rPr>
        <w:t xml:space="preserve"> </w:t>
      </w:r>
      <w:r w:rsidRPr="00641D44">
        <w:rPr>
          <w:rFonts w:ascii="Arial" w:hAnsi="Arial" w:cs="Arial"/>
        </w:rPr>
        <w:t xml:space="preserve">both “arms“ of the </w:t>
      </w:r>
      <w:r w:rsidR="000B088A" w:rsidRPr="00641D44">
        <w:rPr>
          <w:rFonts w:ascii="Arial" w:hAnsi="Arial" w:cs="Arial"/>
        </w:rPr>
        <w:t>p</w:t>
      </w:r>
      <w:r w:rsidRPr="00641D44">
        <w:rPr>
          <w:rFonts w:ascii="Arial" w:hAnsi="Arial" w:cs="Arial"/>
        </w:rPr>
        <w:t>resumption in favour of</w:t>
      </w:r>
      <w:r w:rsidR="00452753" w:rsidRPr="00641D44">
        <w:rPr>
          <w:rFonts w:ascii="Arial" w:hAnsi="Arial" w:cs="Arial"/>
        </w:rPr>
        <w:t xml:space="preserve"> </w:t>
      </w:r>
      <w:r w:rsidRPr="00641D44">
        <w:rPr>
          <w:rFonts w:ascii="Arial" w:hAnsi="Arial" w:cs="Arial"/>
        </w:rPr>
        <w:t>sustainable development at paragraph 11(d)</w:t>
      </w:r>
      <w:proofErr w:type="spellStart"/>
      <w:r w:rsidR="000B088A" w:rsidRPr="00641D44">
        <w:rPr>
          <w:rFonts w:ascii="Arial" w:hAnsi="Arial" w:cs="Arial"/>
        </w:rPr>
        <w:t>i</w:t>
      </w:r>
      <w:proofErr w:type="spellEnd"/>
      <w:r w:rsidRPr="00641D44">
        <w:rPr>
          <w:rFonts w:ascii="Arial" w:hAnsi="Arial" w:cs="Arial"/>
        </w:rPr>
        <w:t xml:space="preserve"> and ii of the NPPF.  </w:t>
      </w:r>
    </w:p>
    <w:p w14:paraId="612CB945" w14:textId="77777777" w:rsidR="00AD6D9C" w:rsidRPr="00641D44" w:rsidRDefault="0072052E" w:rsidP="0072052E">
      <w:pPr>
        <w:spacing w:line="360" w:lineRule="auto"/>
        <w:rPr>
          <w:rFonts w:ascii="Arial" w:hAnsi="Arial" w:cs="Arial"/>
          <w:b/>
        </w:rPr>
      </w:pPr>
      <w:r w:rsidRPr="00641D44">
        <w:rPr>
          <w:rFonts w:ascii="Arial" w:hAnsi="Arial" w:cs="Arial"/>
          <w:b/>
        </w:rPr>
        <w:t>4</w:t>
      </w:r>
      <w:r w:rsidRPr="00641D44">
        <w:rPr>
          <w:rFonts w:ascii="Arial" w:hAnsi="Arial" w:cs="Arial"/>
          <w:b/>
        </w:rPr>
        <w:tab/>
      </w:r>
      <w:r w:rsidR="00AD6D9C" w:rsidRPr="00641D44">
        <w:rPr>
          <w:rFonts w:ascii="Arial" w:hAnsi="Arial" w:cs="Arial"/>
          <w:b/>
        </w:rPr>
        <w:t xml:space="preserve">Changes in circumstances since February 2020.  </w:t>
      </w:r>
    </w:p>
    <w:p w14:paraId="0BCC75B8" w14:textId="77777777" w:rsidR="0028728E" w:rsidRPr="00641D44" w:rsidRDefault="0072052E" w:rsidP="00442BFF">
      <w:pPr>
        <w:spacing w:line="360" w:lineRule="auto"/>
        <w:ind w:left="720" w:hanging="720"/>
        <w:jc w:val="both"/>
        <w:rPr>
          <w:rFonts w:ascii="Arial" w:hAnsi="Arial" w:cs="Arial"/>
        </w:rPr>
      </w:pPr>
      <w:r w:rsidRPr="00641D44">
        <w:rPr>
          <w:rFonts w:ascii="Arial" w:hAnsi="Arial" w:cs="Arial"/>
        </w:rPr>
        <w:t>4.1</w:t>
      </w:r>
      <w:r w:rsidRPr="00641D44">
        <w:rPr>
          <w:rFonts w:ascii="Arial" w:hAnsi="Arial" w:cs="Arial"/>
        </w:rPr>
        <w:tab/>
      </w:r>
      <w:r w:rsidRPr="00641D44">
        <w:rPr>
          <w:rFonts w:ascii="Arial" w:hAnsi="Arial" w:cs="Arial"/>
          <w:b/>
        </w:rPr>
        <w:t>Local Plan Review.</w:t>
      </w:r>
      <w:r w:rsidRPr="00641D44">
        <w:rPr>
          <w:rFonts w:ascii="Arial" w:hAnsi="Arial" w:cs="Arial"/>
        </w:rPr>
        <w:t xml:space="preserve">  </w:t>
      </w:r>
      <w:r w:rsidR="0028728E" w:rsidRPr="00641D44">
        <w:rPr>
          <w:rFonts w:ascii="Arial" w:hAnsi="Arial" w:cs="Arial"/>
        </w:rPr>
        <w:t xml:space="preserve">As set out in the Council’s Statement of </w:t>
      </w:r>
      <w:r w:rsidR="000B088A" w:rsidRPr="00641D44">
        <w:rPr>
          <w:rFonts w:ascii="Arial" w:hAnsi="Arial" w:cs="Arial"/>
        </w:rPr>
        <w:t>C</w:t>
      </w:r>
      <w:r w:rsidR="0028728E" w:rsidRPr="00641D44">
        <w:rPr>
          <w:rFonts w:ascii="Arial" w:hAnsi="Arial" w:cs="Arial"/>
        </w:rPr>
        <w:t xml:space="preserve">ase, the development </w:t>
      </w:r>
      <w:r w:rsidR="00F53398" w:rsidRPr="00641D44">
        <w:rPr>
          <w:rFonts w:ascii="Arial" w:hAnsi="Arial" w:cs="Arial"/>
        </w:rPr>
        <w:t>P</w:t>
      </w:r>
      <w:r w:rsidR="0028728E" w:rsidRPr="00641D44">
        <w:rPr>
          <w:rFonts w:ascii="Arial" w:hAnsi="Arial" w:cs="Arial"/>
        </w:rPr>
        <w:t xml:space="preserve">lan is the Adopted Torbay Local Plan 2012-30 and the Brixham Peninsula Neighbourhood Plan 2012-30.  The </w:t>
      </w:r>
      <w:r w:rsidR="000B088A" w:rsidRPr="00641D44">
        <w:rPr>
          <w:rFonts w:ascii="Arial" w:hAnsi="Arial" w:cs="Arial"/>
        </w:rPr>
        <w:t>p</w:t>
      </w:r>
      <w:r w:rsidR="0028728E" w:rsidRPr="00641D44">
        <w:rPr>
          <w:rFonts w:ascii="Arial" w:hAnsi="Arial" w:cs="Arial"/>
        </w:rPr>
        <w:t xml:space="preserve">olicies likely to be most important to the determination of the application are summarised in the </w:t>
      </w:r>
      <w:r w:rsidR="000B088A" w:rsidRPr="00641D44">
        <w:rPr>
          <w:rFonts w:ascii="Arial" w:hAnsi="Arial" w:cs="Arial"/>
        </w:rPr>
        <w:t>S</w:t>
      </w:r>
      <w:r w:rsidR="0028728E" w:rsidRPr="00641D44">
        <w:rPr>
          <w:rFonts w:ascii="Arial" w:hAnsi="Arial" w:cs="Arial"/>
        </w:rPr>
        <w:t xml:space="preserve">tatement of </w:t>
      </w:r>
      <w:r w:rsidR="000B088A" w:rsidRPr="00641D44">
        <w:rPr>
          <w:rFonts w:ascii="Arial" w:hAnsi="Arial" w:cs="Arial"/>
        </w:rPr>
        <w:t>C</w:t>
      </w:r>
      <w:r w:rsidR="0028728E" w:rsidRPr="00641D44">
        <w:rPr>
          <w:rFonts w:ascii="Arial" w:hAnsi="Arial" w:cs="Arial"/>
        </w:rPr>
        <w:t xml:space="preserve">ase, and Statement of </w:t>
      </w:r>
      <w:r w:rsidR="000B088A" w:rsidRPr="00641D44">
        <w:rPr>
          <w:rFonts w:ascii="Arial" w:hAnsi="Arial" w:cs="Arial"/>
        </w:rPr>
        <w:t>Co</w:t>
      </w:r>
      <w:r w:rsidR="0028728E" w:rsidRPr="00641D44">
        <w:rPr>
          <w:rFonts w:ascii="Arial" w:hAnsi="Arial" w:cs="Arial"/>
        </w:rPr>
        <w:t xml:space="preserve">mmon </w:t>
      </w:r>
      <w:r w:rsidR="000B088A" w:rsidRPr="00641D44">
        <w:rPr>
          <w:rFonts w:ascii="Arial" w:hAnsi="Arial" w:cs="Arial"/>
        </w:rPr>
        <w:t>G</w:t>
      </w:r>
      <w:r w:rsidR="0028728E" w:rsidRPr="00641D44">
        <w:rPr>
          <w:rFonts w:ascii="Arial" w:hAnsi="Arial" w:cs="Arial"/>
        </w:rPr>
        <w:t>round.</w:t>
      </w:r>
    </w:p>
    <w:p w14:paraId="3DCCCBAA" w14:textId="77777777" w:rsidR="0028728E" w:rsidRPr="00641D44" w:rsidRDefault="0072052E" w:rsidP="00442BFF">
      <w:pPr>
        <w:spacing w:line="360" w:lineRule="auto"/>
        <w:ind w:left="720" w:hanging="720"/>
        <w:jc w:val="both"/>
        <w:rPr>
          <w:rFonts w:ascii="Arial" w:hAnsi="Arial" w:cs="Arial"/>
          <w:b/>
        </w:rPr>
      </w:pPr>
      <w:r w:rsidRPr="00641D44">
        <w:rPr>
          <w:rFonts w:ascii="Arial" w:hAnsi="Arial" w:cs="Arial"/>
        </w:rPr>
        <w:t>4.2</w:t>
      </w:r>
      <w:r w:rsidRPr="00641D44">
        <w:rPr>
          <w:rFonts w:ascii="Arial" w:hAnsi="Arial" w:cs="Arial"/>
        </w:rPr>
        <w:tab/>
      </w:r>
      <w:r w:rsidR="0028728E" w:rsidRPr="00641D44">
        <w:rPr>
          <w:rFonts w:ascii="Arial" w:hAnsi="Arial" w:cs="Arial"/>
        </w:rPr>
        <w:t xml:space="preserve">The Local Plan reached its fifth anniversary on 10 December 2020 and has accordingly been reviewed by the Council. </w:t>
      </w:r>
      <w:r w:rsidR="008C371B" w:rsidRPr="00641D44">
        <w:rPr>
          <w:rFonts w:ascii="Arial" w:hAnsi="Arial" w:cs="Arial"/>
        </w:rPr>
        <w:t xml:space="preserve">Cabinet considered an officer review and </w:t>
      </w:r>
      <w:r w:rsidR="000B088A" w:rsidRPr="00641D44">
        <w:rPr>
          <w:rFonts w:ascii="Arial" w:hAnsi="Arial" w:cs="Arial"/>
        </w:rPr>
        <w:t>w</w:t>
      </w:r>
      <w:r w:rsidR="008C371B" w:rsidRPr="00641D44">
        <w:rPr>
          <w:rFonts w:ascii="Arial" w:hAnsi="Arial" w:cs="Arial"/>
        </w:rPr>
        <w:t>orking par</w:t>
      </w:r>
      <w:r w:rsidR="00C00439" w:rsidRPr="00641D44">
        <w:rPr>
          <w:rFonts w:ascii="Arial" w:hAnsi="Arial" w:cs="Arial"/>
        </w:rPr>
        <w:t>t</w:t>
      </w:r>
      <w:r w:rsidR="008C371B" w:rsidRPr="00641D44">
        <w:rPr>
          <w:rFonts w:ascii="Arial" w:hAnsi="Arial" w:cs="Arial"/>
        </w:rPr>
        <w:t>y recommendation of the Local Plan on 17</w:t>
      </w:r>
      <w:r w:rsidR="008F24B1" w:rsidRPr="00641D44">
        <w:rPr>
          <w:rFonts w:ascii="Arial" w:hAnsi="Arial" w:cs="Arial"/>
        </w:rPr>
        <w:t xml:space="preserve"> No</w:t>
      </w:r>
      <w:r w:rsidR="008C371B" w:rsidRPr="00641D44">
        <w:rPr>
          <w:rFonts w:ascii="Arial" w:hAnsi="Arial" w:cs="Arial"/>
        </w:rPr>
        <w:t>vember 2020 and voted to:</w:t>
      </w:r>
      <w:r w:rsidR="008C371B" w:rsidRPr="00641D44">
        <w:rPr>
          <w:rFonts w:ascii="Arial" w:hAnsi="Arial" w:cs="Arial"/>
          <w:i/>
        </w:rPr>
        <w:t xml:space="preserve"> “assess whether the local plan’s housing figure should </w:t>
      </w:r>
      <w:r w:rsidR="00DF0459" w:rsidRPr="00641D44">
        <w:rPr>
          <w:rFonts w:ascii="Arial" w:hAnsi="Arial" w:cs="Arial"/>
          <w:i/>
        </w:rPr>
        <w:t xml:space="preserve">be </w:t>
      </w:r>
      <w:r w:rsidR="008C371B" w:rsidRPr="00641D44">
        <w:rPr>
          <w:rFonts w:ascii="Arial" w:hAnsi="Arial" w:cs="Arial"/>
          <w:i/>
        </w:rPr>
        <w:t>updated in line with the most recent standard methodology housing figure.</w:t>
      </w:r>
      <w:r w:rsidR="00C00439" w:rsidRPr="00641D44">
        <w:rPr>
          <w:rFonts w:ascii="Arial" w:hAnsi="Arial" w:cs="Arial"/>
          <w:i/>
        </w:rPr>
        <w:t xml:space="preserve"> This will </w:t>
      </w:r>
      <w:r w:rsidR="008C371B" w:rsidRPr="00641D44">
        <w:rPr>
          <w:rFonts w:ascii="Arial" w:hAnsi="Arial" w:cs="Arial"/>
          <w:i/>
        </w:rPr>
        <w:t xml:space="preserve">require an update to Local Plan Policies </w:t>
      </w:r>
      <w:r w:rsidR="008C371B" w:rsidRPr="00641D44">
        <w:rPr>
          <w:rFonts w:ascii="Arial" w:hAnsi="Arial" w:cs="Arial"/>
          <w:i/>
        </w:rPr>
        <w:lastRenderedPageBreak/>
        <w:t>SS1, SS12 and SS13.  There may be a consequential impact on other policies dealing with housing supply, particularly Policy SS2 and neighbourhood area policies (SDT1, SDP1 and SDB1)”.</w:t>
      </w:r>
      <w:r w:rsidR="0028728E" w:rsidRPr="00641D44">
        <w:rPr>
          <w:rFonts w:ascii="Arial" w:hAnsi="Arial" w:cs="Arial"/>
        </w:rPr>
        <w:t xml:space="preserve">  However, in other respects the Local Plan was assessed to be consistent with the 2019 NPPF and other material considerations.</w:t>
      </w:r>
    </w:p>
    <w:p w14:paraId="74AE1EF5" w14:textId="0110D275" w:rsidR="00B252A9" w:rsidRPr="00641D44" w:rsidRDefault="0072052E" w:rsidP="00442BFF">
      <w:pPr>
        <w:spacing w:line="360" w:lineRule="auto"/>
        <w:ind w:left="720" w:hanging="720"/>
        <w:jc w:val="both"/>
        <w:rPr>
          <w:rFonts w:ascii="Arial" w:hAnsi="Arial" w:cs="Arial"/>
        </w:rPr>
      </w:pPr>
      <w:r w:rsidRPr="00641D44">
        <w:rPr>
          <w:rFonts w:ascii="Arial" w:hAnsi="Arial" w:cs="Arial"/>
        </w:rPr>
        <w:t>4.3</w:t>
      </w:r>
      <w:r w:rsidRPr="00641D44">
        <w:rPr>
          <w:rFonts w:ascii="Arial" w:hAnsi="Arial" w:cs="Arial"/>
        </w:rPr>
        <w:tab/>
      </w:r>
      <w:r w:rsidR="0028728E" w:rsidRPr="00641D44">
        <w:rPr>
          <w:rFonts w:ascii="Arial" w:hAnsi="Arial" w:cs="Arial"/>
        </w:rPr>
        <w:t>The</w:t>
      </w:r>
      <w:r w:rsidRPr="00641D44">
        <w:rPr>
          <w:rFonts w:ascii="Arial" w:hAnsi="Arial" w:cs="Arial"/>
        </w:rPr>
        <w:t xml:space="preserve"> </w:t>
      </w:r>
      <w:r w:rsidR="00397E86" w:rsidRPr="00641D44">
        <w:rPr>
          <w:rFonts w:ascii="Arial" w:hAnsi="Arial" w:cs="Arial"/>
        </w:rPr>
        <w:t>c</w:t>
      </w:r>
      <w:r w:rsidRPr="00641D44">
        <w:rPr>
          <w:rFonts w:ascii="Arial" w:hAnsi="Arial" w:cs="Arial"/>
        </w:rPr>
        <w:t xml:space="preserve">ouncil at 17 November </w:t>
      </w:r>
      <w:r w:rsidR="000B088A" w:rsidRPr="00641D44">
        <w:rPr>
          <w:rFonts w:ascii="Arial" w:hAnsi="Arial" w:cs="Arial"/>
        </w:rPr>
        <w:t xml:space="preserve">2020 </w:t>
      </w:r>
      <w:r w:rsidR="0028728E" w:rsidRPr="00641D44">
        <w:rPr>
          <w:rFonts w:ascii="Arial" w:hAnsi="Arial" w:cs="Arial"/>
        </w:rPr>
        <w:t xml:space="preserve">published a </w:t>
      </w:r>
      <w:r w:rsidRPr="00641D44">
        <w:rPr>
          <w:rFonts w:ascii="Arial" w:hAnsi="Arial" w:cs="Arial"/>
        </w:rPr>
        <w:t>tentative</w:t>
      </w:r>
      <w:r w:rsidR="0028728E" w:rsidRPr="00641D44">
        <w:rPr>
          <w:rFonts w:ascii="Arial" w:hAnsi="Arial" w:cs="Arial"/>
        </w:rPr>
        <w:t xml:space="preserve"> timeline for updating the Local Plan’s housing policies.  It is noted that there </w:t>
      </w:r>
      <w:r w:rsidRPr="00641D44">
        <w:rPr>
          <w:rFonts w:ascii="Arial" w:hAnsi="Arial" w:cs="Arial"/>
        </w:rPr>
        <w:t>are</w:t>
      </w:r>
      <w:r w:rsidR="0028728E" w:rsidRPr="00641D44">
        <w:rPr>
          <w:rFonts w:ascii="Arial" w:hAnsi="Arial" w:cs="Arial"/>
        </w:rPr>
        <w:t xml:space="preserve"> objections to the use of a standard methodology to calculate housing need, because of concern about jobs not keeping pace with housing, the number of vacant homes and sluggish housing market performance. </w:t>
      </w:r>
      <w:r w:rsidR="00C00439" w:rsidRPr="00641D44">
        <w:rPr>
          <w:rFonts w:ascii="Arial" w:hAnsi="Arial" w:cs="Arial"/>
        </w:rPr>
        <w:t xml:space="preserve"> Net </w:t>
      </w:r>
      <w:r w:rsidRPr="00641D44">
        <w:rPr>
          <w:rFonts w:ascii="Arial" w:hAnsi="Arial" w:cs="Arial"/>
        </w:rPr>
        <w:t xml:space="preserve">population and </w:t>
      </w:r>
      <w:r w:rsidR="00C00439" w:rsidRPr="00641D44">
        <w:rPr>
          <w:rFonts w:ascii="Arial" w:hAnsi="Arial" w:cs="Arial"/>
        </w:rPr>
        <w:t xml:space="preserve">household growth in Torbay is entirely driven by </w:t>
      </w:r>
      <w:r w:rsidRPr="00641D44">
        <w:rPr>
          <w:rFonts w:ascii="Arial" w:hAnsi="Arial" w:cs="Arial"/>
        </w:rPr>
        <w:t xml:space="preserve">domestic </w:t>
      </w:r>
      <w:r w:rsidR="00C00439" w:rsidRPr="00641D44">
        <w:rPr>
          <w:rFonts w:ascii="Arial" w:hAnsi="Arial" w:cs="Arial"/>
        </w:rPr>
        <w:t xml:space="preserve">inwards migration, and long term migration trends show considerably lower household growth than the </w:t>
      </w:r>
      <w:r w:rsidRPr="00641D44">
        <w:rPr>
          <w:rFonts w:ascii="Arial" w:hAnsi="Arial" w:cs="Arial"/>
        </w:rPr>
        <w:t>2 year</w:t>
      </w:r>
      <w:r w:rsidR="00C00439" w:rsidRPr="00641D44">
        <w:rPr>
          <w:rFonts w:ascii="Arial" w:hAnsi="Arial" w:cs="Arial"/>
        </w:rPr>
        <w:t xml:space="preserve"> trends used in the latest (2018 based) sub-national projections.  </w:t>
      </w:r>
      <w:r w:rsidR="0028728E" w:rsidRPr="00641D44">
        <w:rPr>
          <w:rFonts w:ascii="Arial" w:hAnsi="Arial" w:cs="Arial"/>
        </w:rPr>
        <w:t xml:space="preserve">These are matters that need to be considered as part of the update to housing polices. </w:t>
      </w:r>
      <w:r w:rsidR="000F56AB" w:rsidRPr="00641D44">
        <w:rPr>
          <w:rFonts w:ascii="Arial" w:hAnsi="Arial" w:cs="Arial"/>
        </w:rPr>
        <w:t xml:space="preserve"> </w:t>
      </w:r>
      <w:r w:rsidR="00C46F58" w:rsidRPr="00641D44">
        <w:rPr>
          <w:rFonts w:ascii="Arial" w:hAnsi="Arial" w:cs="Arial"/>
        </w:rPr>
        <w:t xml:space="preserve">The Local Plan update is at an early stage, and the LPA accepts that the Inspector will inevitably </w:t>
      </w:r>
      <w:r w:rsidR="00C00439" w:rsidRPr="00641D44">
        <w:rPr>
          <w:rFonts w:ascii="Arial" w:hAnsi="Arial" w:cs="Arial"/>
        </w:rPr>
        <w:t xml:space="preserve">have to </w:t>
      </w:r>
      <w:r w:rsidR="00C46F58" w:rsidRPr="00641D44">
        <w:rPr>
          <w:rFonts w:ascii="Arial" w:hAnsi="Arial" w:cs="Arial"/>
        </w:rPr>
        <w:t xml:space="preserve">assess the housing requirement against the standard methodology figure (currently 586 dwellings per year), as required by paragraph 73 of the NPPF. </w:t>
      </w:r>
    </w:p>
    <w:p w14:paraId="56E693EA" w14:textId="1AC57AA7" w:rsidR="000F56AB" w:rsidRPr="00641D44" w:rsidRDefault="0072052E" w:rsidP="00442BFF">
      <w:pPr>
        <w:spacing w:line="360" w:lineRule="auto"/>
        <w:ind w:left="720" w:hanging="720"/>
        <w:jc w:val="both"/>
        <w:rPr>
          <w:rFonts w:ascii="Arial" w:hAnsi="Arial" w:cs="Arial"/>
        </w:rPr>
      </w:pPr>
      <w:r w:rsidRPr="00641D44">
        <w:rPr>
          <w:rFonts w:ascii="Arial" w:hAnsi="Arial" w:cs="Arial"/>
        </w:rPr>
        <w:t>4.4</w:t>
      </w:r>
      <w:r w:rsidRPr="00641D44">
        <w:rPr>
          <w:rFonts w:ascii="Arial" w:hAnsi="Arial" w:cs="Arial"/>
        </w:rPr>
        <w:tab/>
      </w:r>
      <w:r w:rsidR="00B252A9" w:rsidRPr="00641D44">
        <w:rPr>
          <w:rFonts w:ascii="Arial" w:hAnsi="Arial" w:cs="Arial"/>
          <w:b/>
        </w:rPr>
        <w:t>Housing Land Supply</w:t>
      </w:r>
      <w:r w:rsidR="00941574" w:rsidRPr="00641D44">
        <w:rPr>
          <w:rFonts w:ascii="Arial" w:hAnsi="Arial" w:cs="Arial"/>
          <w:b/>
        </w:rPr>
        <w:t>.</w:t>
      </w:r>
      <w:r w:rsidR="00B252A9" w:rsidRPr="00641D44">
        <w:rPr>
          <w:rFonts w:ascii="Arial" w:hAnsi="Arial" w:cs="Arial"/>
          <w:b/>
        </w:rPr>
        <w:t xml:space="preserve"> </w:t>
      </w:r>
      <w:r w:rsidRPr="00641D44">
        <w:rPr>
          <w:rFonts w:ascii="Arial" w:hAnsi="Arial" w:cs="Arial"/>
          <w:b/>
        </w:rPr>
        <w:t xml:space="preserve"> </w:t>
      </w:r>
      <w:r w:rsidR="00C46F58" w:rsidRPr="00641D44">
        <w:rPr>
          <w:rFonts w:ascii="Arial" w:hAnsi="Arial" w:cs="Arial"/>
        </w:rPr>
        <w:t xml:space="preserve">A </w:t>
      </w:r>
      <w:r w:rsidRPr="00641D44">
        <w:rPr>
          <w:rFonts w:ascii="Arial" w:hAnsi="Arial" w:cs="Arial"/>
        </w:rPr>
        <w:t xml:space="preserve">Position </w:t>
      </w:r>
      <w:r w:rsidR="00AD1694" w:rsidRPr="00641D44">
        <w:rPr>
          <w:rFonts w:ascii="Arial" w:hAnsi="Arial" w:cs="Arial"/>
        </w:rPr>
        <w:t>S</w:t>
      </w:r>
      <w:r w:rsidRPr="00641D44">
        <w:rPr>
          <w:rFonts w:ascii="Arial" w:hAnsi="Arial" w:cs="Arial"/>
        </w:rPr>
        <w:t>tatement</w:t>
      </w:r>
      <w:r w:rsidR="00C46F58" w:rsidRPr="00641D44">
        <w:rPr>
          <w:rFonts w:ascii="Arial" w:hAnsi="Arial" w:cs="Arial"/>
        </w:rPr>
        <w:t xml:space="preserve"> (</w:t>
      </w:r>
      <w:r w:rsidR="00B252A9" w:rsidRPr="00641D44">
        <w:rPr>
          <w:rFonts w:ascii="Arial" w:hAnsi="Arial" w:cs="Arial"/>
        </w:rPr>
        <w:t>“</w:t>
      </w:r>
      <w:r w:rsidR="00C46F58" w:rsidRPr="00641D44">
        <w:rPr>
          <w:rFonts w:ascii="Arial" w:hAnsi="Arial" w:cs="Arial"/>
        </w:rPr>
        <w:t xml:space="preserve">Scott </w:t>
      </w:r>
      <w:r w:rsidR="00EC12DC" w:rsidRPr="00641D44">
        <w:rPr>
          <w:rFonts w:ascii="Arial" w:hAnsi="Arial" w:cs="Arial"/>
        </w:rPr>
        <w:t>S</w:t>
      </w:r>
      <w:r w:rsidR="00C46F58" w:rsidRPr="00641D44">
        <w:rPr>
          <w:rFonts w:ascii="Arial" w:hAnsi="Arial" w:cs="Arial"/>
        </w:rPr>
        <w:t>tatement</w:t>
      </w:r>
      <w:r w:rsidR="00EC12DC" w:rsidRPr="00641D44">
        <w:rPr>
          <w:rFonts w:ascii="Arial" w:hAnsi="Arial" w:cs="Arial"/>
        </w:rPr>
        <w:t>”</w:t>
      </w:r>
      <w:r w:rsidR="00C46F58" w:rsidRPr="00641D44">
        <w:rPr>
          <w:rFonts w:ascii="Arial" w:hAnsi="Arial" w:cs="Arial"/>
        </w:rPr>
        <w:t xml:space="preserve">) has been prepared in conjunction with the appellants </w:t>
      </w:r>
      <w:r w:rsidR="00DE151F" w:rsidRPr="00641D44">
        <w:rPr>
          <w:rFonts w:ascii="Arial" w:hAnsi="Arial" w:cs="Arial"/>
        </w:rPr>
        <w:t xml:space="preserve">and </w:t>
      </w:r>
      <w:r w:rsidR="00FC7A06" w:rsidRPr="00641D44">
        <w:rPr>
          <w:rFonts w:ascii="Arial" w:hAnsi="Arial" w:cs="Arial"/>
        </w:rPr>
        <w:t xml:space="preserve">(former) </w:t>
      </w:r>
      <w:r w:rsidR="00DE151F" w:rsidRPr="00641D44">
        <w:rPr>
          <w:rFonts w:ascii="Arial" w:hAnsi="Arial" w:cs="Arial"/>
        </w:rPr>
        <w:t xml:space="preserve">Rule 6 party on Housing Land Supply.  </w:t>
      </w:r>
      <w:r w:rsidR="00C46F58" w:rsidRPr="00641D44">
        <w:rPr>
          <w:rFonts w:ascii="Arial" w:hAnsi="Arial" w:cs="Arial"/>
        </w:rPr>
        <w:t>There is broad agreement</w:t>
      </w:r>
      <w:r w:rsidR="00EC12DC" w:rsidRPr="00641D44">
        <w:rPr>
          <w:rFonts w:ascii="Arial" w:hAnsi="Arial" w:cs="Arial"/>
        </w:rPr>
        <w:t xml:space="preserve"> between the LPA and Appellant about</w:t>
      </w:r>
      <w:r w:rsidR="00C46F58" w:rsidRPr="00641D44">
        <w:rPr>
          <w:rFonts w:ascii="Arial" w:hAnsi="Arial" w:cs="Arial"/>
        </w:rPr>
        <w:t xml:space="preserve"> the general methodology, but disagreement about whether some major sites with less than full planning permission meet the definition of deliverability in the </w:t>
      </w:r>
      <w:r w:rsidR="00FC7A06" w:rsidRPr="00641D44">
        <w:rPr>
          <w:rFonts w:ascii="Arial" w:hAnsi="Arial" w:cs="Arial"/>
        </w:rPr>
        <w:t>g</w:t>
      </w:r>
      <w:r w:rsidR="00C46F58" w:rsidRPr="00641D44">
        <w:rPr>
          <w:rFonts w:ascii="Arial" w:hAnsi="Arial" w:cs="Arial"/>
        </w:rPr>
        <w:t>lossary to the NPPF</w:t>
      </w:r>
      <w:r w:rsidR="000F56AB" w:rsidRPr="00641D44">
        <w:rPr>
          <w:rFonts w:ascii="Arial" w:hAnsi="Arial" w:cs="Arial"/>
        </w:rPr>
        <w:t>.</w:t>
      </w:r>
      <w:r w:rsidR="0080759E" w:rsidRPr="00641D44">
        <w:rPr>
          <w:rFonts w:ascii="Arial" w:hAnsi="Arial" w:cs="Arial"/>
        </w:rPr>
        <w:t xml:space="preserve"> </w:t>
      </w:r>
      <w:r w:rsidR="000F56AB" w:rsidRPr="00641D44">
        <w:rPr>
          <w:rFonts w:ascii="Arial" w:hAnsi="Arial" w:cs="Arial"/>
        </w:rPr>
        <w:t xml:space="preserve"> Nevertheless, the LPA accepts that</w:t>
      </w:r>
      <w:r w:rsidR="00AD1694" w:rsidRPr="00641D44">
        <w:rPr>
          <w:rFonts w:ascii="Arial" w:hAnsi="Arial" w:cs="Arial"/>
        </w:rPr>
        <w:t>,</w:t>
      </w:r>
      <w:r w:rsidR="000F56AB" w:rsidRPr="00641D44">
        <w:rPr>
          <w:rFonts w:ascii="Arial" w:hAnsi="Arial" w:cs="Arial"/>
        </w:rPr>
        <w:t xml:space="preserve"> </w:t>
      </w:r>
      <w:r w:rsidR="00AD1694" w:rsidRPr="00641D44">
        <w:rPr>
          <w:rFonts w:ascii="Arial" w:hAnsi="Arial" w:cs="Arial"/>
        </w:rPr>
        <w:t xml:space="preserve">whilst not the case at present, </w:t>
      </w:r>
      <w:r w:rsidR="000F56AB" w:rsidRPr="00641D44">
        <w:rPr>
          <w:rFonts w:ascii="Arial" w:hAnsi="Arial" w:cs="Arial"/>
        </w:rPr>
        <w:t xml:space="preserve">when the </w:t>
      </w:r>
      <w:r w:rsidR="00F53398" w:rsidRPr="00641D44">
        <w:rPr>
          <w:rFonts w:ascii="Arial" w:hAnsi="Arial" w:cs="Arial"/>
        </w:rPr>
        <w:t>H</w:t>
      </w:r>
      <w:r w:rsidR="000F56AB" w:rsidRPr="00641D44">
        <w:rPr>
          <w:rFonts w:ascii="Arial" w:hAnsi="Arial" w:cs="Arial"/>
        </w:rPr>
        <w:t xml:space="preserve">ousing </w:t>
      </w:r>
      <w:r w:rsidR="00F53398" w:rsidRPr="00641D44">
        <w:rPr>
          <w:rFonts w:ascii="Arial" w:hAnsi="Arial" w:cs="Arial"/>
        </w:rPr>
        <w:t>Delivery T</w:t>
      </w:r>
      <w:r w:rsidR="000F56AB" w:rsidRPr="00641D44">
        <w:rPr>
          <w:rFonts w:ascii="Arial" w:hAnsi="Arial" w:cs="Arial"/>
        </w:rPr>
        <w:t>es</w:t>
      </w:r>
      <w:r w:rsidRPr="00641D44">
        <w:rPr>
          <w:rFonts w:ascii="Arial" w:hAnsi="Arial" w:cs="Arial"/>
        </w:rPr>
        <w:t>t for 2020 is published</w:t>
      </w:r>
      <w:r w:rsidR="000B088A" w:rsidRPr="00641D44">
        <w:rPr>
          <w:rFonts w:ascii="Arial" w:hAnsi="Arial" w:cs="Arial"/>
        </w:rPr>
        <w:t xml:space="preserve"> (and it is understood that publication is imminent)</w:t>
      </w:r>
      <w:r w:rsidRPr="00641D44">
        <w:rPr>
          <w:rFonts w:ascii="Arial" w:hAnsi="Arial" w:cs="Arial"/>
        </w:rPr>
        <w:t xml:space="preserve"> it will, inevitably, </w:t>
      </w:r>
      <w:r w:rsidR="000F56AB" w:rsidRPr="00641D44">
        <w:rPr>
          <w:rFonts w:ascii="Arial" w:hAnsi="Arial" w:cs="Arial"/>
        </w:rPr>
        <w:t>be required to add a 20% buffer</w:t>
      </w:r>
      <w:r w:rsidR="0080759E" w:rsidRPr="00641D44">
        <w:rPr>
          <w:rFonts w:ascii="Arial" w:hAnsi="Arial" w:cs="Arial"/>
        </w:rPr>
        <w:t>, as prescribed by footnote 39 of the NPPF</w:t>
      </w:r>
      <w:r w:rsidR="00CD5749" w:rsidRPr="00641D44">
        <w:rPr>
          <w:rFonts w:ascii="Arial" w:hAnsi="Arial" w:cs="Arial"/>
        </w:rPr>
        <w:t>.  O</w:t>
      </w:r>
      <w:r w:rsidR="00FC7A06" w:rsidRPr="00641D44">
        <w:rPr>
          <w:rFonts w:ascii="Arial" w:hAnsi="Arial" w:cs="Arial"/>
        </w:rPr>
        <w:t xml:space="preserve">n the basis of the sites </w:t>
      </w:r>
      <w:r w:rsidR="00CD5749" w:rsidRPr="00641D44">
        <w:rPr>
          <w:rFonts w:ascii="Arial" w:hAnsi="Arial" w:cs="Arial"/>
        </w:rPr>
        <w:t>presented as deliverable in the July 2020 five year housing land supply schedule (CD6.37-9), this</w:t>
      </w:r>
      <w:r w:rsidR="000F56AB" w:rsidRPr="00641D44">
        <w:rPr>
          <w:rFonts w:ascii="Arial" w:hAnsi="Arial" w:cs="Arial"/>
        </w:rPr>
        <w:t xml:space="preserve"> results in less than 3 years</w:t>
      </w:r>
      <w:r w:rsidR="000B088A" w:rsidRPr="00641D44">
        <w:rPr>
          <w:rFonts w:ascii="Arial" w:hAnsi="Arial" w:cs="Arial"/>
        </w:rPr>
        <w:t>’</w:t>
      </w:r>
      <w:r w:rsidR="000F56AB" w:rsidRPr="00641D44">
        <w:rPr>
          <w:rFonts w:ascii="Arial" w:hAnsi="Arial" w:cs="Arial"/>
        </w:rPr>
        <w:t xml:space="preserve"> supply</w:t>
      </w:r>
      <w:r w:rsidRPr="00641D44">
        <w:rPr>
          <w:rFonts w:ascii="Arial" w:hAnsi="Arial" w:cs="Arial"/>
        </w:rPr>
        <w:t xml:space="preserve"> being demonstrable. </w:t>
      </w:r>
    </w:p>
    <w:p w14:paraId="66C55C09" w14:textId="30FDB63C" w:rsidR="00B252A9" w:rsidRPr="00641D44" w:rsidRDefault="0072052E" w:rsidP="00442BFF">
      <w:pPr>
        <w:spacing w:line="360" w:lineRule="auto"/>
        <w:ind w:left="720" w:hanging="720"/>
        <w:jc w:val="both"/>
        <w:rPr>
          <w:rFonts w:ascii="Arial" w:hAnsi="Arial" w:cs="Arial"/>
          <w:b/>
        </w:rPr>
      </w:pPr>
      <w:r w:rsidRPr="00641D44">
        <w:rPr>
          <w:rFonts w:ascii="Arial" w:hAnsi="Arial" w:cs="Arial"/>
        </w:rPr>
        <w:t>4.5</w:t>
      </w:r>
      <w:r w:rsidRPr="00641D44">
        <w:rPr>
          <w:rFonts w:ascii="Arial" w:hAnsi="Arial" w:cs="Arial"/>
        </w:rPr>
        <w:tab/>
      </w:r>
      <w:r w:rsidR="00B252A9" w:rsidRPr="00641D44">
        <w:rPr>
          <w:rFonts w:ascii="Arial" w:hAnsi="Arial" w:cs="Arial"/>
        </w:rPr>
        <w:t xml:space="preserve">The Committee Report </w:t>
      </w:r>
      <w:r w:rsidR="00EE3595" w:rsidRPr="00641D44">
        <w:rPr>
          <w:rFonts w:ascii="Arial" w:hAnsi="Arial" w:cs="Arial"/>
        </w:rPr>
        <w:t xml:space="preserve">(February 2020) </w:t>
      </w:r>
      <w:r w:rsidR="00B252A9" w:rsidRPr="00641D44">
        <w:rPr>
          <w:rFonts w:ascii="Arial" w:hAnsi="Arial" w:cs="Arial"/>
        </w:rPr>
        <w:t>and Statement of Case were written at a time when the LPA could not demonstrate three years’ housing land supply</w:t>
      </w:r>
      <w:r w:rsidRPr="00641D44">
        <w:rPr>
          <w:rFonts w:ascii="Arial" w:hAnsi="Arial" w:cs="Arial"/>
        </w:rPr>
        <w:t>, based on the 2019 position.  Accordingly</w:t>
      </w:r>
      <w:r w:rsidR="00EE3595" w:rsidRPr="00641D44">
        <w:rPr>
          <w:rFonts w:ascii="Arial" w:hAnsi="Arial" w:cs="Arial"/>
        </w:rPr>
        <w:t>,</w:t>
      </w:r>
      <w:r w:rsidRPr="00641D44">
        <w:rPr>
          <w:rFonts w:ascii="Arial" w:hAnsi="Arial" w:cs="Arial"/>
        </w:rPr>
        <w:t xml:space="preserve"> the LPA</w:t>
      </w:r>
      <w:r w:rsidR="00B252A9" w:rsidRPr="00641D44">
        <w:rPr>
          <w:rFonts w:ascii="Arial" w:hAnsi="Arial" w:cs="Arial"/>
        </w:rPr>
        <w:t xml:space="preserve"> </w:t>
      </w:r>
      <w:r w:rsidRPr="00641D44">
        <w:rPr>
          <w:rFonts w:ascii="Arial" w:hAnsi="Arial" w:cs="Arial"/>
        </w:rPr>
        <w:t>gave substantial</w:t>
      </w:r>
      <w:r w:rsidR="00B252A9" w:rsidRPr="00641D44">
        <w:rPr>
          <w:rFonts w:ascii="Arial" w:hAnsi="Arial" w:cs="Arial"/>
        </w:rPr>
        <w:t xml:space="preserve"> weight to the supply of housing; but nevertheless found that the proposal </w:t>
      </w:r>
      <w:r w:rsidR="000B088A" w:rsidRPr="00641D44">
        <w:rPr>
          <w:rFonts w:ascii="Arial" w:hAnsi="Arial" w:cs="Arial"/>
        </w:rPr>
        <w:t xml:space="preserve">was unacceptable in planning terms </w:t>
      </w:r>
      <w:r w:rsidR="00B252A9" w:rsidRPr="00641D44">
        <w:rPr>
          <w:rFonts w:ascii="Arial" w:hAnsi="Arial" w:cs="Arial"/>
        </w:rPr>
        <w:t xml:space="preserve">due to its impact on the </w:t>
      </w:r>
      <w:r w:rsidR="000B088A" w:rsidRPr="00641D44">
        <w:rPr>
          <w:rFonts w:ascii="Arial" w:hAnsi="Arial" w:cs="Arial"/>
        </w:rPr>
        <w:t xml:space="preserve">landscape, </w:t>
      </w:r>
      <w:r w:rsidR="00B252A9" w:rsidRPr="00641D44">
        <w:rPr>
          <w:rFonts w:ascii="Arial" w:hAnsi="Arial" w:cs="Arial"/>
        </w:rPr>
        <w:t xml:space="preserve">AONB, and </w:t>
      </w:r>
      <w:r w:rsidR="000B088A" w:rsidRPr="00641D44">
        <w:rPr>
          <w:rFonts w:ascii="Arial" w:hAnsi="Arial" w:cs="Arial"/>
        </w:rPr>
        <w:t xml:space="preserve">the </w:t>
      </w:r>
      <w:r w:rsidR="00B252A9" w:rsidRPr="00641D44">
        <w:rPr>
          <w:rFonts w:ascii="Arial" w:hAnsi="Arial" w:cs="Arial"/>
        </w:rPr>
        <w:t xml:space="preserve">significant and demonstrable conflict with the Brixham Peninsula Neighbourhood Plan.  </w:t>
      </w:r>
    </w:p>
    <w:p w14:paraId="3C68B1EB" w14:textId="77777777" w:rsidR="00B252A9" w:rsidRPr="00641D44" w:rsidRDefault="0002144B" w:rsidP="00442BFF">
      <w:pPr>
        <w:spacing w:line="360" w:lineRule="auto"/>
        <w:ind w:left="720" w:hanging="720"/>
        <w:jc w:val="both"/>
        <w:rPr>
          <w:rFonts w:ascii="Arial" w:hAnsi="Arial" w:cs="Arial"/>
        </w:rPr>
      </w:pPr>
      <w:r w:rsidRPr="00641D44">
        <w:rPr>
          <w:rFonts w:ascii="Arial" w:hAnsi="Arial" w:cs="Arial"/>
        </w:rPr>
        <w:t>4.6</w:t>
      </w:r>
      <w:r w:rsidRPr="00641D44">
        <w:rPr>
          <w:rFonts w:ascii="Arial" w:hAnsi="Arial" w:cs="Arial"/>
        </w:rPr>
        <w:tab/>
      </w:r>
      <w:r w:rsidR="004E2C88" w:rsidRPr="00641D44">
        <w:rPr>
          <w:rFonts w:ascii="Arial" w:hAnsi="Arial" w:cs="Arial"/>
        </w:rPr>
        <w:t xml:space="preserve">This remains my view. </w:t>
      </w:r>
      <w:r w:rsidR="00D51CDD" w:rsidRPr="00641D44">
        <w:rPr>
          <w:rFonts w:ascii="Arial" w:hAnsi="Arial" w:cs="Arial"/>
        </w:rPr>
        <w:t>U</w:t>
      </w:r>
      <w:r w:rsidR="00F53398" w:rsidRPr="00641D44">
        <w:rPr>
          <w:rFonts w:ascii="Arial" w:hAnsi="Arial" w:cs="Arial"/>
        </w:rPr>
        <w:t xml:space="preserve">ltimately the decision </w:t>
      </w:r>
      <w:r w:rsidR="004E2C88" w:rsidRPr="00641D44">
        <w:rPr>
          <w:rFonts w:ascii="Arial" w:hAnsi="Arial" w:cs="Arial"/>
        </w:rPr>
        <w:t xml:space="preserve">hinges upon an assessment of the proposal’s benefits against the local and national landscape harm.  </w:t>
      </w:r>
      <w:r w:rsidR="00C00439" w:rsidRPr="00641D44">
        <w:rPr>
          <w:rFonts w:ascii="Arial" w:hAnsi="Arial" w:cs="Arial"/>
        </w:rPr>
        <w:t>W</w:t>
      </w:r>
      <w:r w:rsidR="003E26CF" w:rsidRPr="00641D44">
        <w:rPr>
          <w:rFonts w:ascii="Arial" w:hAnsi="Arial" w:cs="Arial"/>
        </w:rPr>
        <w:t xml:space="preserve">ith some </w:t>
      </w:r>
      <w:r w:rsidR="003E26CF" w:rsidRPr="00641D44">
        <w:rPr>
          <w:rFonts w:ascii="Arial" w:hAnsi="Arial" w:cs="Arial"/>
        </w:rPr>
        <w:lastRenderedPageBreak/>
        <w:t xml:space="preserve">sympathy for the appellant, the scales fall firmly on the side of refusal </w:t>
      </w:r>
      <w:r w:rsidR="00F53398" w:rsidRPr="00641D44">
        <w:rPr>
          <w:rFonts w:ascii="Arial" w:hAnsi="Arial" w:cs="Arial"/>
        </w:rPr>
        <w:t>even with the presumption on favour of sustainable development applied</w:t>
      </w:r>
      <w:r w:rsidR="003E26CF" w:rsidRPr="00641D44">
        <w:rPr>
          <w:rFonts w:ascii="Arial" w:hAnsi="Arial" w:cs="Arial"/>
        </w:rPr>
        <w:t xml:space="preserve">. </w:t>
      </w:r>
    </w:p>
    <w:p w14:paraId="177E4663" w14:textId="71CD9DC6" w:rsidR="00D13AA5" w:rsidRPr="00641D44" w:rsidRDefault="0002144B" w:rsidP="00442BFF">
      <w:pPr>
        <w:spacing w:line="360" w:lineRule="auto"/>
        <w:ind w:left="720" w:hanging="720"/>
        <w:jc w:val="both"/>
        <w:rPr>
          <w:rFonts w:ascii="Arial" w:hAnsi="Arial" w:cs="Arial"/>
        </w:rPr>
      </w:pPr>
      <w:r w:rsidRPr="00641D44">
        <w:rPr>
          <w:rFonts w:ascii="Arial" w:hAnsi="Arial" w:cs="Arial"/>
        </w:rPr>
        <w:t>4.7</w:t>
      </w:r>
      <w:r w:rsidRPr="00641D44">
        <w:rPr>
          <w:rFonts w:ascii="Arial" w:hAnsi="Arial" w:cs="Arial"/>
        </w:rPr>
        <w:tab/>
      </w:r>
      <w:r w:rsidR="00D51CDD" w:rsidRPr="00641D44">
        <w:rPr>
          <w:rFonts w:ascii="Arial" w:hAnsi="Arial" w:cs="Arial"/>
        </w:rPr>
        <w:t xml:space="preserve">I consider that the BPNP should still be affording </w:t>
      </w:r>
      <w:r w:rsidR="00CD5749" w:rsidRPr="00641D44">
        <w:rPr>
          <w:rFonts w:ascii="Arial" w:hAnsi="Arial" w:cs="Arial"/>
        </w:rPr>
        <w:t>significant</w:t>
      </w:r>
      <w:r w:rsidR="00D51CDD" w:rsidRPr="00641D44">
        <w:rPr>
          <w:rFonts w:ascii="Arial" w:hAnsi="Arial" w:cs="Arial"/>
        </w:rPr>
        <w:t xml:space="preserve"> weight</w:t>
      </w:r>
      <w:r w:rsidRPr="00641D44">
        <w:rPr>
          <w:rFonts w:ascii="Arial" w:hAnsi="Arial" w:cs="Arial"/>
        </w:rPr>
        <w:t xml:space="preserve">, even if the protection of paragraph 14 of the NPPF is not applied. </w:t>
      </w:r>
      <w:r w:rsidR="00D51CDD" w:rsidRPr="00641D44">
        <w:rPr>
          <w:rFonts w:ascii="Arial" w:hAnsi="Arial" w:cs="Arial"/>
        </w:rPr>
        <w:t>T</w:t>
      </w:r>
      <w:r w:rsidR="00BD6598" w:rsidRPr="00641D44">
        <w:rPr>
          <w:rFonts w:ascii="Arial" w:hAnsi="Arial" w:cs="Arial"/>
        </w:rPr>
        <w:t xml:space="preserve">he impact </w:t>
      </w:r>
      <w:r w:rsidR="00442BFF" w:rsidRPr="00641D44">
        <w:rPr>
          <w:rFonts w:ascii="Arial" w:hAnsi="Arial" w:cs="Arial"/>
        </w:rPr>
        <w:t xml:space="preserve">of </w:t>
      </w:r>
      <w:r w:rsidR="00BD6598" w:rsidRPr="00641D44">
        <w:rPr>
          <w:rFonts w:ascii="Arial" w:hAnsi="Arial" w:cs="Arial"/>
        </w:rPr>
        <w:t>the proposal in undermining the Brixham Peninsula Neighbourhood Plan and developing the settlement gap/views across open countryside towards the AONB would fundamentally undermi</w:t>
      </w:r>
      <w:r w:rsidR="0080759E" w:rsidRPr="00641D44">
        <w:rPr>
          <w:rFonts w:ascii="Arial" w:hAnsi="Arial" w:cs="Arial"/>
        </w:rPr>
        <w:t xml:space="preserve">ne the BPNP. </w:t>
      </w:r>
      <w:r w:rsidR="00C00439" w:rsidRPr="00641D44">
        <w:rPr>
          <w:rFonts w:ascii="Arial" w:hAnsi="Arial" w:cs="Arial"/>
        </w:rPr>
        <w:t xml:space="preserve"> It would</w:t>
      </w:r>
      <w:r w:rsidRPr="00641D44">
        <w:rPr>
          <w:rFonts w:ascii="Arial" w:hAnsi="Arial" w:cs="Arial"/>
        </w:rPr>
        <w:t>,</w:t>
      </w:r>
      <w:r w:rsidR="00C00439" w:rsidRPr="00641D44">
        <w:rPr>
          <w:rFonts w:ascii="Arial" w:hAnsi="Arial" w:cs="Arial"/>
        </w:rPr>
        <w:t xml:space="preserve"> further</w:t>
      </w:r>
      <w:r w:rsidR="00BD6598" w:rsidRPr="00641D44">
        <w:rPr>
          <w:rFonts w:ascii="Arial" w:hAnsi="Arial" w:cs="Arial"/>
        </w:rPr>
        <w:t>more</w:t>
      </w:r>
      <w:r w:rsidRPr="00641D44">
        <w:rPr>
          <w:rFonts w:ascii="Arial" w:hAnsi="Arial" w:cs="Arial"/>
        </w:rPr>
        <w:t>,</w:t>
      </w:r>
      <w:r w:rsidR="00BD6598" w:rsidRPr="00641D44">
        <w:rPr>
          <w:rFonts w:ascii="Arial" w:hAnsi="Arial" w:cs="Arial"/>
        </w:rPr>
        <w:t xml:space="preserve"> punish Peninsula residents for shortfalls elsewhere in the Bay.  </w:t>
      </w:r>
    </w:p>
    <w:p w14:paraId="625EF86A" w14:textId="77777777" w:rsidR="00DE151F" w:rsidRPr="00641D44" w:rsidRDefault="0002144B" w:rsidP="0072052E">
      <w:pPr>
        <w:spacing w:line="360" w:lineRule="auto"/>
        <w:rPr>
          <w:rFonts w:ascii="Arial" w:hAnsi="Arial" w:cs="Arial"/>
          <w:b/>
        </w:rPr>
      </w:pPr>
      <w:r w:rsidRPr="00641D44">
        <w:rPr>
          <w:rFonts w:ascii="Arial" w:hAnsi="Arial" w:cs="Arial"/>
          <w:b/>
        </w:rPr>
        <w:t>5.</w:t>
      </w:r>
      <w:r w:rsidRPr="00641D44">
        <w:rPr>
          <w:rFonts w:ascii="Arial" w:hAnsi="Arial" w:cs="Arial"/>
          <w:b/>
        </w:rPr>
        <w:tab/>
      </w:r>
      <w:r w:rsidR="00D13AA5" w:rsidRPr="00641D44">
        <w:rPr>
          <w:rFonts w:ascii="Arial" w:hAnsi="Arial" w:cs="Arial"/>
          <w:b/>
        </w:rPr>
        <w:t xml:space="preserve">The Site’s History. </w:t>
      </w:r>
    </w:p>
    <w:p w14:paraId="706CDA0A" w14:textId="42FDB905" w:rsidR="00AE34DE" w:rsidRPr="00641D44" w:rsidRDefault="0002144B" w:rsidP="00442BFF">
      <w:pPr>
        <w:spacing w:line="360" w:lineRule="auto"/>
        <w:ind w:left="720" w:hanging="720"/>
        <w:jc w:val="both"/>
        <w:rPr>
          <w:rFonts w:ascii="Arial" w:hAnsi="Arial" w:cs="Arial"/>
          <w:color w:val="000000"/>
        </w:rPr>
      </w:pPr>
      <w:r w:rsidRPr="00641D44">
        <w:rPr>
          <w:rFonts w:ascii="Arial" w:hAnsi="Arial" w:cs="Arial"/>
        </w:rPr>
        <w:t>5.1</w:t>
      </w:r>
      <w:r w:rsidRPr="00641D44">
        <w:rPr>
          <w:rFonts w:ascii="Arial" w:hAnsi="Arial" w:cs="Arial"/>
        </w:rPr>
        <w:tab/>
      </w:r>
      <w:r w:rsidR="00AE34DE" w:rsidRPr="00641D44">
        <w:rPr>
          <w:rFonts w:ascii="Arial" w:hAnsi="Arial" w:cs="Arial"/>
        </w:rPr>
        <w:t>A more detailed history of the site is set out in Appendi</w:t>
      </w:r>
      <w:r w:rsidRPr="00641D44">
        <w:rPr>
          <w:rFonts w:ascii="Arial" w:hAnsi="Arial" w:cs="Arial"/>
        </w:rPr>
        <w:t>x 1 to the Committee Report. However, I w</w:t>
      </w:r>
      <w:r w:rsidR="00AE34DE" w:rsidRPr="00641D44">
        <w:rPr>
          <w:rFonts w:ascii="Arial" w:hAnsi="Arial" w:cs="Arial"/>
        </w:rPr>
        <w:t xml:space="preserve">ould like to draw out some key </w:t>
      </w:r>
      <w:r w:rsidRPr="00641D44">
        <w:rPr>
          <w:rFonts w:ascii="Arial" w:hAnsi="Arial" w:cs="Arial"/>
        </w:rPr>
        <w:t>milestones</w:t>
      </w:r>
      <w:r w:rsidR="00AE34DE" w:rsidRPr="00641D44">
        <w:rPr>
          <w:rFonts w:ascii="Arial" w:hAnsi="Arial" w:cs="Arial"/>
        </w:rPr>
        <w:t>.    Torbay Borough Council (as it then was) rejected a housing proposal for the site in the early 1990s (</w:t>
      </w:r>
      <w:r w:rsidR="00AE34DE" w:rsidRPr="00641D44">
        <w:rPr>
          <w:rFonts w:ascii="Arial" w:hAnsi="Arial" w:cs="Arial"/>
          <w:color w:val="000000"/>
        </w:rPr>
        <w:t xml:space="preserve">95/0998/OA and 96/1288/OA), but supported application 1995/1304/MOA for a business park and associated works. </w:t>
      </w:r>
      <w:r w:rsidRPr="00641D44">
        <w:rPr>
          <w:rFonts w:ascii="Arial" w:hAnsi="Arial" w:cs="Arial"/>
          <w:color w:val="000000"/>
        </w:rPr>
        <w:t xml:space="preserve"> </w:t>
      </w:r>
      <w:r w:rsidR="00AE34DE" w:rsidRPr="00641D44">
        <w:rPr>
          <w:rFonts w:ascii="Arial" w:hAnsi="Arial" w:cs="Arial"/>
          <w:color w:val="000000"/>
        </w:rPr>
        <w:t xml:space="preserve">The application was Called In by the Secretary of State following a resolution in June 1996 by Torbay Council to approve the development.  It was refused by the Secretary of State in October 1997. </w:t>
      </w:r>
      <w:r w:rsidRPr="00641D44">
        <w:rPr>
          <w:rFonts w:ascii="Arial" w:hAnsi="Arial" w:cs="Arial"/>
          <w:color w:val="000000"/>
        </w:rPr>
        <w:t>(</w:t>
      </w:r>
      <w:r w:rsidR="00D16ACD" w:rsidRPr="00641D44">
        <w:rPr>
          <w:rFonts w:ascii="Arial" w:hAnsi="Arial" w:cs="Arial"/>
          <w:color w:val="000000"/>
        </w:rPr>
        <w:t xml:space="preserve">CD7.3b; </w:t>
      </w:r>
      <w:r w:rsidRPr="00641D44">
        <w:rPr>
          <w:rFonts w:ascii="Arial" w:hAnsi="Arial" w:cs="Arial"/>
          <w:color w:val="000000"/>
        </w:rPr>
        <w:t>Reference SW/P/5183/220/4).</w:t>
      </w:r>
      <w:r w:rsidRPr="00641D44">
        <w:rPr>
          <w:rFonts w:ascii="Arial" w:hAnsi="Arial" w:cs="Arial"/>
          <w:b/>
          <w:color w:val="000000"/>
        </w:rPr>
        <w:t xml:space="preserve"> </w:t>
      </w:r>
    </w:p>
    <w:p w14:paraId="1AF5A22D" w14:textId="5D6E40D3" w:rsidR="00AE34DE" w:rsidRPr="00641D44" w:rsidRDefault="0002144B" w:rsidP="00442BFF">
      <w:pPr>
        <w:spacing w:line="360" w:lineRule="auto"/>
        <w:ind w:left="720" w:hanging="720"/>
        <w:jc w:val="both"/>
        <w:rPr>
          <w:rFonts w:ascii="Arial" w:hAnsi="Arial" w:cs="Arial"/>
          <w:color w:val="000000"/>
        </w:rPr>
      </w:pPr>
      <w:r w:rsidRPr="00641D44">
        <w:rPr>
          <w:rFonts w:ascii="Arial" w:hAnsi="Arial" w:cs="Arial"/>
          <w:color w:val="000000"/>
        </w:rPr>
        <w:t>5.2</w:t>
      </w:r>
      <w:r w:rsidRPr="00641D44">
        <w:rPr>
          <w:rFonts w:ascii="Arial" w:hAnsi="Arial" w:cs="Arial"/>
          <w:color w:val="000000"/>
        </w:rPr>
        <w:tab/>
      </w:r>
      <w:r w:rsidR="00AE34DE" w:rsidRPr="00641D44">
        <w:rPr>
          <w:rFonts w:ascii="Arial" w:hAnsi="Arial" w:cs="Arial"/>
          <w:color w:val="000000"/>
        </w:rPr>
        <w:t xml:space="preserve">The application boundary differed from the current site.  In particular application 1995/1304 encompassed land to the north (now </w:t>
      </w:r>
      <w:r w:rsidRPr="00641D44">
        <w:rPr>
          <w:rFonts w:ascii="Arial" w:hAnsi="Arial" w:cs="Arial"/>
          <w:color w:val="000000"/>
        </w:rPr>
        <w:t xml:space="preserve">being </w:t>
      </w:r>
      <w:r w:rsidR="00AE34DE" w:rsidRPr="00641D44">
        <w:rPr>
          <w:rFonts w:ascii="Arial" w:hAnsi="Arial" w:cs="Arial"/>
          <w:color w:val="000000"/>
        </w:rPr>
        <w:t>developed as White Rock), together wi</w:t>
      </w:r>
      <w:r w:rsidRPr="00641D44">
        <w:rPr>
          <w:rFonts w:ascii="Arial" w:hAnsi="Arial" w:cs="Arial"/>
          <w:color w:val="000000"/>
        </w:rPr>
        <w:t>th the current application site</w:t>
      </w:r>
      <w:r w:rsidR="00EB32FF" w:rsidRPr="00641D44">
        <w:rPr>
          <w:rFonts w:ascii="Arial" w:hAnsi="Arial" w:cs="Arial"/>
          <w:b/>
          <w:color w:val="000000"/>
        </w:rPr>
        <w:t xml:space="preserve">.  </w:t>
      </w:r>
      <w:r w:rsidR="00EB32FF" w:rsidRPr="00641D44">
        <w:rPr>
          <w:rFonts w:ascii="Arial" w:hAnsi="Arial" w:cs="Arial"/>
          <w:color w:val="000000"/>
        </w:rPr>
        <w:t xml:space="preserve">Although the southern </w:t>
      </w:r>
      <w:r w:rsidRPr="00641D44">
        <w:rPr>
          <w:rFonts w:ascii="Arial" w:hAnsi="Arial" w:cs="Arial"/>
          <w:color w:val="000000"/>
        </w:rPr>
        <w:t xml:space="preserve">application </w:t>
      </w:r>
      <w:r w:rsidR="00EB32FF" w:rsidRPr="00641D44">
        <w:rPr>
          <w:rFonts w:ascii="Arial" w:hAnsi="Arial" w:cs="Arial"/>
          <w:color w:val="000000"/>
        </w:rPr>
        <w:t xml:space="preserve">site boundaries are similar in the two applications, the current appeal masterplan indicates development southwards of that proposed in the </w:t>
      </w:r>
      <w:r w:rsidRPr="00641D44">
        <w:rPr>
          <w:rFonts w:ascii="Arial" w:hAnsi="Arial" w:cs="Arial"/>
          <w:color w:val="000000"/>
        </w:rPr>
        <w:t>1995 business par</w:t>
      </w:r>
      <w:r w:rsidR="00600E68" w:rsidRPr="00641D44">
        <w:rPr>
          <w:rFonts w:ascii="Arial" w:hAnsi="Arial" w:cs="Arial"/>
          <w:color w:val="000000"/>
        </w:rPr>
        <w:t>k</w:t>
      </w:r>
      <w:r w:rsidRPr="00641D44">
        <w:rPr>
          <w:rFonts w:ascii="Arial" w:hAnsi="Arial" w:cs="Arial"/>
          <w:color w:val="000000"/>
        </w:rPr>
        <w:t xml:space="preserve"> proposal</w:t>
      </w:r>
      <w:r w:rsidR="00EB32FF" w:rsidRPr="00641D44">
        <w:rPr>
          <w:rFonts w:ascii="Arial" w:hAnsi="Arial" w:cs="Arial"/>
          <w:color w:val="000000"/>
        </w:rPr>
        <w:t xml:space="preserve"> (taking a line due west from Hunters Tor Drive </w:t>
      </w:r>
      <w:r w:rsidR="00600E68" w:rsidRPr="00641D44">
        <w:rPr>
          <w:rFonts w:ascii="Arial" w:hAnsi="Arial" w:cs="Arial"/>
          <w:color w:val="000000"/>
        </w:rPr>
        <w:t>j</w:t>
      </w:r>
      <w:r w:rsidR="00EB32FF" w:rsidRPr="00641D44">
        <w:rPr>
          <w:rFonts w:ascii="Arial" w:hAnsi="Arial" w:cs="Arial"/>
          <w:color w:val="000000"/>
        </w:rPr>
        <w:t>unction i</w:t>
      </w:r>
      <w:r w:rsidRPr="00641D44">
        <w:rPr>
          <w:rFonts w:ascii="Arial" w:hAnsi="Arial" w:cs="Arial"/>
          <w:color w:val="000000"/>
        </w:rPr>
        <w:t xml:space="preserve">s a useful way of seeing this).  </w:t>
      </w:r>
    </w:p>
    <w:p w14:paraId="5C5B6B97" w14:textId="6B0F7DB0" w:rsidR="00AE34DE" w:rsidRPr="00641D44" w:rsidRDefault="0002144B" w:rsidP="00442BFF">
      <w:pPr>
        <w:pStyle w:val="NormalWeb"/>
        <w:spacing w:before="0" w:beforeAutospacing="0" w:after="0" w:afterAutospacing="0" w:line="360" w:lineRule="auto"/>
        <w:ind w:left="720" w:hanging="720"/>
        <w:jc w:val="both"/>
        <w:rPr>
          <w:rFonts w:ascii="Arial" w:hAnsi="Arial" w:cs="Arial"/>
          <w:color w:val="000000"/>
          <w:sz w:val="22"/>
          <w:szCs w:val="22"/>
        </w:rPr>
      </w:pPr>
      <w:r w:rsidRPr="00641D44">
        <w:rPr>
          <w:rFonts w:ascii="Arial" w:hAnsi="Arial" w:cs="Arial"/>
          <w:color w:val="000000"/>
          <w:sz w:val="22"/>
          <w:szCs w:val="22"/>
        </w:rPr>
        <w:t>5.3</w:t>
      </w:r>
      <w:r w:rsidRPr="00641D44">
        <w:rPr>
          <w:rFonts w:ascii="Arial" w:hAnsi="Arial" w:cs="Arial"/>
          <w:color w:val="000000"/>
          <w:sz w:val="22"/>
          <w:szCs w:val="22"/>
        </w:rPr>
        <w:tab/>
      </w:r>
      <w:r w:rsidR="00AE34DE" w:rsidRPr="00641D44">
        <w:rPr>
          <w:rFonts w:ascii="Arial" w:hAnsi="Arial" w:cs="Arial"/>
          <w:color w:val="000000"/>
          <w:sz w:val="22"/>
          <w:szCs w:val="22"/>
        </w:rPr>
        <w:t xml:space="preserve">The Secretary of State’s refusal reasons largely accorded with his </w:t>
      </w:r>
      <w:r w:rsidR="000B088A" w:rsidRPr="00641D44">
        <w:rPr>
          <w:rFonts w:ascii="Arial" w:hAnsi="Arial" w:cs="Arial"/>
          <w:color w:val="000000"/>
          <w:sz w:val="22"/>
          <w:szCs w:val="22"/>
        </w:rPr>
        <w:t>I</w:t>
      </w:r>
      <w:r w:rsidR="00AE34DE" w:rsidRPr="00641D44">
        <w:rPr>
          <w:rFonts w:ascii="Arial" w:hAnsi="Arial" w:cs="Arial"/>
          <w:color w:val="000000"/>
          <w:sz w:val="22"/>
          <w:szCs w:val="22"/>
        </w:rPr>
        <w:t>nspector’s recommendations</w:t>
      </w:r>
      <w:r w:rsidR="00D16ACD" w:rsidRPr="00641D44">
        <w:rPr>
          <w:rFonts w:ascii="Arial" w:hAnsi="Arial" w:cs="Arial"/>
          <w:color w:val="000000"/>
          <w:sz w:val="22"/>
          <w:szCs w:val="22"/>
        </w:rPr>
        <w:t xml:space="preserve"> (CD7.3a)</w:t>
      </w:r>
      <w:r w:rsidR="00AE34DE" w:rsidRPr="00641D44">
        <w:rPr>
          <w:rFonts w:ascii="Arial" w:hAnsi="Arial" w:cs="Arial"/>
          <w:color w:val="000000"/>
          <w:sz w:val="22"/>
          <w:szCs w:val="22"/>
        </w:rPr>
        <w:t>.  They principally related to impact on the AONB</w:t>
      </w:r>
      <w:r w:rsidR="007238A5" w:rsidRPr="00641D44">
        <w:rPr>
          <w:rFonts w:ascii="Arial" w:hAnsi="Arial" w:cs="Arial"/>
          <w:color w:val="000000"/>
          <w:sz w:val="22"/>
          <w:szCs w:val="22"/>
        </w:rPr>
        <w:t xml:space="preserve">, although it is acknowledged that the proposal was for industrial and not residential development.  </w:t>
      </w:r>
      <w:r w:rsidR="00AE34DE" w:rsidRPr="00641D44">
        <w:rPr>
          <w:rFonts w:ascii="Arial" w:hAnsi="Arial" w:cs="Arial"/>
          <w:color w:val="000000"/>
          <w:sz w:val="22"/>
          <w:szCs w:val="22"/>
        </w:rPr>
        <w:t xml:space="preserve">The </w:t>
      </w:r>
      <w:proofErr w:type="spellStart"/>
      <w:r w:rsidR="00AE34DE" w:rsidRPr="00641D44">
        <w:rPr>
          <w:rFonts w:ascii="Arial" w:hAnsi="Arial" w:cs="Arial"/>
          <w:color w:val="000000"/>
          <w:sz w:val="22"/>
          <w:szCs w:val="22"/>
        </w:rPr>
        <w:t>S</w:t>
      </w:r>
      <w:r w:rsidR="00CB5A76" w:rsidRPr="00641D44">
        <w:rPr>
          <w:rFonts w:ascii="Arial" w:hAnsi="Arial" w:cs="Arial"/>
          <w:color w:val="000000"/>
          <w:sz w:val="22"/>
          <w:szCs w:val="22"/>
        </w:rPr>
        <w:t>of</w:t>
      </w:r>
      <w:r w:rsidR="00AE34DE" w:rsidRPr="00641D44">
        <w:rPr>
          <w:rFonts w:ascii="Arial" w:hAnsi="Arial" w:cs="Arial"/>
          <w:color w:val="000000"/>
          <w:sz w:val="22"/>
          <w:szCs w:val="22"/>
        </w:rPr>
        <w:t>S</w:t>
      </w:r>
      <w:proofErr w:type="spellEnd"/>
      <w:r w:rsidR="00AE34DE" w:rsidRPr="00641D44">
        <w:rPr>
          <w:rFonts w:ascii="Arial" w:hAnsi="Arial" w:cs="Arial"/>
          <w:color w:val="000000"/>
          <w:sz w:val="22"/>
          <w:szCs w:val="22"/>
        </w:rPr>
        <w:t xml:space="preserve"> (and his inspector) considered landscape impact to be ‘</w:t>
      </w:r>
      <w:r w:rsidR="000B088A" w:rsidRPr="00641D44">
        <w:rPr>
          <w:rFonts w:ascii="Arial" w:hAnsi="Arial" w:cs="Arial"/>
          <w:color w:val="000000"/>
          <w:sz w:val="22"/>
          <w:szCs w:val="22"/>
        </w:rPr>
        <w:t>”t</w:t>
      </w:r>
      <w:r w:rsidR="00AE34DE" w:rsidRPr="00641D44">
        <w:rPr>
          <w:rFonts w:ascii="Arial" w:hAnsi="Arial" w:cs="Arial"/>
          <w:color w:val="000000"/>
          <w:sz w:val="22"/>
          <w:szCs w:val="22"/>
        </w:rPr>
        <w:t>he most compelling</w:t>
      </w:r>
      <w:r w:rsidR="000B088A" w:rsidRPr="00641D44">
        <w:rPr>
          <w:rFonts w:ascii="Arial" w:hAnsi="Arial" w:cs="Arial"/>
          <w:color w:val="000000"/>
          <w:sz w:val="22"/>
          <w:szCs w:val="22"/>
        </w:rPr>
        <w:t>”</w:t>
      </w:r>
      <w:r w:rsidR="00AE34DE" w:rsidRPr="00641D44">
        <w:rPr>
          <w:rFonts w:ascii="Arial" w:hAnsi="Arial" w:cs="Arial"/>
          <w:color w:val="000000"/>
          <w:sz w:val="22"/>
          <w:szCs w:val="22"/>
        </w:rPr>
        <w:t xml:space="preserve"> reason for refusal, given the impact of the proposed development on the AONB.  The </w:t>
      </w:r>
      <w:proofErr w:type="spellStart"/>
      <w:r w:rsidR="00AE34DE" w:rsidRPr="00641D44">
        <w:rPr>
          <w:rFonts w:ascii="Arial" w:hAnsi="Arial" w:cs="Arial"/>
          <w:color w:val="000000"/>
          <w:sz w:val="22"/>
          <w:szCs w:val="22"/>
        </w:rPr>
        <w:t>S</w:t>
      </w:r>
      <w:r w:rsidR="00CB5A76" w:rsidRPr="00641D44">
        <w:rPr>
          <w:rFonts w:ascii="Arial" w:hAnsi="Arial" w:cs="Arial"/>
          <w:color w:val="000000"/>
          <w:sz w:val="22"/>
          <w:szCs w:val="22"/>
        </w:rPr>
        <w:t>of</w:t>
      </w:r>
      <w:r w:rsidR="00AE34DE" w:rsidRPr="00641D44">
        <w:rPr>
          <w:rFonts w:ascii="Arial" w:hAnsi="Arial" w:cs="Arial"/>
          <w:color w:val="000000"/>
          <w:sz w:val="22"/>
          <w:szCs w:val="22"/>
        </w:rPr>
        <w:t>S</w:t>
      </w:r>
      <w:proofErr w:type="spellEnd"/>
      <w:r w:rsidR="00AE34DE" w:rsidRPr="00641D44">
        <w:rPr>
          <w:rFonts w:ascii="Arial" w:hAnsi="Arial" w:cs="Arial"/>
          <w:color w:val="000000"/>
          <w:sz w:val="22"/>
          <w:szCs w:val="22"/>
        </w:rPr>
        <w:t xml:space="preserve"> applied substantial weight to this matter stating there was </w:t>
      </w:r>
      <w:r w:rsidR="00AE34DE" w:rsidRPr="00641D44">
        <w:rPr>
          <w:rFonts w:ascii="Arial" w:hAnsi="Arial" w:cs="Arial"/>
          <w:i/>
          <w:color w:val="000000"/>
          <w:sz w:val="22"/>
          <w:szCs w:val="22"/>
        </w:rPr>
        <w:t>a “need to preserve the high quality of the Dart Valley AONB as one of the finest riverine landscapes in the country”</w:t>
      </w:r>
      <w:r w:rsidR="00AE34DE" w:rsidRPr="00641D44">
        <w:rPr>
          <w:rFonts w:ascii="Arial" w:hAnsi="Arial" w:cs="Arial"/>
          <w:color w:val="000000"/>
          <w:sz w:val="22"/>
          <w:szCs w:val="22"/>
        </w:rPr>
        <w:t xml:space="preserve">. It was stated that </w:t>
      </w:r>
      <w:r w:rsidR="00AE34DE" w:rsidRPr="00641D44">
        <w:rPr>
          <w:rFonts w:ascii="Arial" w:hAnsi="Arial" w:cs="Arial"/>
          <w:i/>
          <w:color w:val="000000"/>
          <w:sz w:val="22"/>
          <w:szCs w:val="22"/>
        </w:rPr>
        <w:t>“the development itself and the very extensive areas of woodland planting envisaged would have a significantly adverse and wholly unacceptable visual impact on the AONB, the AGLV and the surrounding countryside…</w:t>
      </w:r>
      <w:r w:rsidR="00AE34DE" w:rsidRPr="00641D44">
        <w:rPr>
          <w:rFonts w:ascii="Arial" w:hAnsi="Arial" w:cs="Arial"/>
          <w:color w:val="000000"/>
          <w:sz w:val="22"/>
          <w:szCs w:val="22"/>
        </w:rPr>
        <w:t>” (</w:t>
      </w:r>
      <w:proofErr w:type="gramStart"/>
      <w:r w:rsidR="000B088A" w:rsidRPr="00641D44">
        <w:rPr>
          <w:rFonts w:ascii="Arial" w:hAnsi="Arial" w:cs="Arial"/>
          <w:color w:val="000000"/>
          <w:sz w:val="22"/>
          <w:szCs w:val="22"/>
        </w:rPr>
        <w:t>paragraph</w:t>
      </w:r>
      <w:proofErr w:type="gramEnd"/>
      <w:r w:rsidR="00AE34DE" w:rsidRPr="00641D44">
        <w:rPr>
          <w:rFonts w:ascii="Arial" w:hAnsi="Arial" w:cs="Arial"/>
          <w:color w:val="000000"/>
          <w:sz w:val="22"/>
          <w:szCs w:val="22"/>
        </w:rPr>
        <w:t xml:space="preserve"> 12 of the decision and 12.22 to 12.49 of the Inspector’s conclusions). </w:t>
      </w:r>
    </w:p>
    <w:p w14:paraId="3A3B787E" w14:textId="77777777" w:rsidR="00AE34DE" w:rsidRPr="00641D44" w:rsidRDefault="0002144B" w:rsidP="00442BFF">
      <w:pPr>
        <w:pStyle w:val="NormalWeb"/>
        <w:spacing w:after="0" w:line="360" w:lineRule="auto"/>
        <w:ind w:left="720" w:hanging="720"/>
        <w:jc w:val="both"/>
        <w:rPr>
          <w:rFonts w:ascii="Arial" w:hAnsi="Arial" w:cs="Arial"/>
          <w:color w:val="000000"/>
          <w:sz w:val="22"/>
          <w:szCs w:val="22"/>
        </w:rPr>
      </w:pPr>
      <w:r w:rsidRPr="00641D44">
        <w:rPr>
          <w:rFonts w:ascii="Arial" w:hAnsi="Arial" w:cs="Arial"/>
          <w:color w:val="000000"/>
          <w:sz w:val="22"/>
          <w:szCs w:val="22"/>
        </w:rPr>
        <w:lastRenderedPageBreak/>
        <w:t>5.4</w:t>
      </w:r>
      <w:r w:rsidRPr="00641D44">
        <w:rPr>
          <w:rFonts w:ascii="Arial" w:hAnsi="Arial" w:cs="Arial"/>
          <w:color w:val="000000"/>
          <w:sz w:val="22"/>
          <w:szCs w:val="22"/>
        </w:rPr>
        <w:tab/>
      </w:r>
      <w:r w:rsidR="007238A5" w:rsidRPr="00641D44">
        <w:rPr>
          <w:rFonts w:ascii="Arial" w:hAnsi="Arial" w:cs="Arial"/>
          <w:color w:val="000000"/>
          <w:sz w:val="22"/>
          <w:szCs w:val="22"/>
        </w:rPr>
        <w:t>This is an important issue</w:t>
      </w:r>
      <w:r w:rsidR="000B088A" w:rsidRPr="00641D44">
        <w:rPr>
          <w:rFonts w:ascii="Arial" w:hAnsi="Arial" w:cs="Arial"/>
          <w:color w:val="000000"/>
          <w:sz w:val="22"/>
          <w:szCs w:val="22"/>
        </w:rPr>
        <w:t>. T</w:t>
      </w:r>
      <w:r w:rsidR="007238A5" w:rsidRPr="00641D44">
        <w:rPr>
          <w:rFonts w:ascii="Arial" w:hAnsi="Arial" w:cs="Arial"/>
          <w:color w:val="000000"/>
          <w:sz w:val="22"/>
          <w:szCs w:val="22"/>
        </w:rPr>
        <w:t xml:space="preserve">he Inspector considered, and the Secretary of State </w:t>
      </w:r>
      <w:r w:rsidR="000B088A" w:rsidRPr="00641D44">
        <w:rPr>
          <w:rFonts w:ascii="Arial" w:hAnsi="Arial" w:cs="Arial"/>
          <w:color w:val="000000"/>
          <w:sz w:val="22"/>
          <w:szCs w:val="22"/>
        </w:rPr>
        <w:t>a</w:t>
      </w:r>
      <w:r w:rsidR="007238A5" w:rsidRPr="00641D44">
        <w:rPr>
          <w:rFonts w:ascii="Arial" w:hAnsi="Arial" w:cs="Arial"/>
          <w:color w:val="000000"/>
          <w:sz w:val="22"/>
          <w:szCs w:val="22"/>
        </w:rPr>
        <w:t xml:space="preserve">greed, that the landscaping </w:t>
      </w:r>
      <w:r w:rsidR="00497F6A" w:rsidRPr="00641D44">
        <w:rPr>
          <w:rFonts w:ascii="Arial" w:hAnsi="Arial" w:cs="Arial"/>
          <w:color w:val="000000"/>
          <w:sz w:val="22"/>
          <w:szCs w:val="22"/>
        </w:rPr>
        <w:t>itself would be visually intrusive and out of keeping in this largely open landscape</w:t>
      </w:r>
      <w:r w:rsidR="000B088A" w:rsidRPr="00641D44">
        <w:rPr>
          <w:rFonts w:ascii="Arial" w:hAnsi="Arial" w:cs="Arial"/>
          <w:color w:val="000000"/>
          <w:sz w:val="22"/>
          <w:szCs w:val="22"/>
        </w:rPr>
        <w:t xml:space="preserve"> </w:t>
      </w:r>
      <w:r w:rsidR="00497F6A" w:rsidRPr="00641D44">
        <w:rPr>
          <w:rFonts w:ascii="Arial" w:hAnsi="Arial" w:cs="Arial"/>
          <w:color w:val="000000"/>
          <w:sz w:val="22"/>
          <w:szCs w:val="22"/>
        </w:rPr>
        <w:t>(</w:t>
      </w:r>
      <w:r w:rsidR="000B088A" w:rsidRPr="00641D44">
        <w:rPr>
          <w:rFonts w:ascii="Arial" w:hAnsi="Arial" w:cs="Arial"/>
          <w:color w:val="000000"/>
          <w:sz w:val="22"/>
          <w:szCs w:val="22"/>
        </w:rPr>
        <w:t>p</w:t>
      </w:r>
      <w:r w:rsidR="00497F6A" w:rsidRPr="00641D44">
        <w:rPr>
          <w:rFonts w:ascii="Arial" w:hAnsi="Arial" w:cs="Arial"/>
          <w:color w:val="000000"/>
          <w:sz w:val="22"/>
          <w:szCs w:val="22"/>
        </w:rPr>
        <w:t>ara</w:t>
      </w:r>
      <w:r w:rsidR="000B088A" w:rsidRPr="00641D44">
        <w:rPr>
          <w:rFonts w:ascii="Arial" w:hAnsi="Arial" w:cs="Arial"/>
          <w:color w:val="000000"/>
          <w:sz w:val="22"/>
          <w:szCs w:val="22"/>
        </w:rPr>
        <w:t>graph</w:t>
      </w:r>
      <w:r w:rsidR="00497F6A" w:rsidRPr="00641D44">
        <w:rPr>
          <w:rFonts w:ascii="Arial" w:hAnsi="Arial" w:cs="Arial"/>
          <w:color w:val="000000"/>
          <w:sz w:val="22"/>
          <w:szCs w:val="22"/>
        </w:rPr>
        <w:t xml:space="preserve"> 12.44)</w:t>
      </w:r>
      <w:r w:rsidR="007238A5" w:rsidRPr="00641D44">
        <w:rPr>
          <w:rFonts w:ascii="Arial" w:hAnsi="Arial" w:cs="Arial"/>
          <w:color w:val="000000"/>
          <w:sz w:val="22"/>
          <w:szCs w:val="22"/>
        </w:rPr>
        <w:t xml:space="preserve">. </w:t>
      </w:r>
    </w:p>
    <w:p w14:paraId="168A3E30" w14:textId="77777777" w:rsidR="00AE34DE" w:rsidRPr="00641D44" w:rsidRDefault="00AE34DE" w:rsidP="0002144B">
      <w:pPr>
        <w:pStyle w:val="NormalWeb"/>
        <w:spacing w:before="0" w:beforeAutospacing="0" w:after="0" w:afterAutospacing="0" w:line="360" w:lineRule="auto"/>
        <w:ind w:firstLine="720"/>
        <w:rPr>
          <w:rFonts w:ascii="Arial" w:hAnsi="Arial" w:cs="Arial"/>
          <w:b/>
          <w:color w:val="000000"/>
          <w:sz w:val="22"/>
          <w:szCs w:val="22"/>
        </w:rPr>
      </w:pPr>
      <w:r w:rsidRPr="00641D44">
        <w:rPr>
          <w:rFonts w:ascii="Arial" w:hAnsi="Arial" w:cs="Arial"/>
          <w:b/>
          <w:color w:val="000000"/>
          <w:sz w:val="22"/>
          <w:szCs w:val="22"/>
        </w:rPr>
        <w:t xml:space="preserve">White Rock (Phase 1)  </w:t>
      </w:r>
    </w:p>
    <w:p w14:paraId="508064B2" w14:textId="77777777" w:rsidR="00AE34DE" w:rsidRPr="00641D44" w:rsidRDefault="00AE34DE" w:rsidP="0072052E">
      <w:pPr>
        <w:pStyle w:val="NormalWeb"/>
        <w:spacing w:before="0" w:beforeAutospacing="0" w:after="0" w:afterAutospacing="0" w:line="360" w:lineRule="auto"/>
        <w:rPr>
          <w:rFonts w:ascii="Arial" w:hAnsi="Arial" w:cs="Arial"/>
          <w:b/>
          <w:color w:val="000000"/>
          <w:sz w:val="22"/>
          <w:szCs w:val="22"/>
        </w:rPr>
      </w:pPr>
    </w:p>
    <w:p w14:paraId="68A3CF69" w14:textId="77777777" w:rsidR="00825E4F" w:rsidRPr="00641D44" w:rsidRDefault="0002144B" w:rsidP="00095E92">
      <w:pPr>
        <w:pStyle w:val="NormalWeb"/>
        <w:spacing w:before="0" w:beforeAutospacing="0" w:after="0" w:afterAutospacing="0" w:line="360" w:lineRule="auto"/>
        <w:ind w:left="720" w:hanging="720"/>
        <w:jc w:val="both"/>
        <w:rPr>
          <w:rFonts w:ascii="Arial" w:hAnsi="Arial" w:cs="Arial"/>
          <w:color w:val="000000"/>
          <w:sz w:val="22"/>
          <w:szCs w:val="22"/>
        </w:rPr>
      </w:pPr>
      <w:r w:rsidRPr="00641D44">
        <w:rPr>
          <w:rFonts w:ascii="Arial" w:hAnsi="Arial" w:cs="Arial"/>
          <w:color w:val="000000"/>
          <w:sz w:val="22"/>
          <w:szCs w:val="22"/>
        </w:rPr>
        <w:t>5.5</w:t>
      </w:r>
      <w:r w:rsidRPr="00641D44">
        <w:rPr>
          <w:rFonts w:ascii="Arial" w:hAnsi="Arial" w:cs="Arial"/>
          <w:color w:val="000000"/>
          <w:sz w:val="22"/>
          <w:szCs w:val="22"/>
        </w:rPr>
        <w:tab/>
        <w:t>The 1996/7 Call In Inspector indicated</w:t>
      </w:r>
      <w:r w:rsidR="007238A5" w:rsidRPr="00641D44">
        <w:rPr>
          <w:rFonts w:ascii="Arial" w:hAnsi="Arial" w:cs="Arial"/>
          <w:color w:val="000000"/>
          <w:sz w:val="22"/>
          <w:szCs w:val="22"/>
        </w:rPr>
        <w:t xml:space="preserve"> that land to the north of the site was </w:t>
      </w:r>
      <w:r w:rsidR="00825E4F" w:rsidRPr="00641D44">
        <w:rPr>
          <w:rFonts w:ascii="Arial" w:hAnsi="Arial" w:cs="Arial"/>
          <w:color w:val="000000"/>
          <w:sz w:val="22"/>
          <w:szCs w:val="22"/>
        </w:rPr>
        <w:t>contained by the high ground between White Rock and Waddeton, whilst the southern area (largely comprising the current appeal) has an open character sloping gently down with a southerly aspect facing towards the Dart Valley AONB (paragraph 12.34)</w:t>
      </w:r>
      <w:r w:rsidR="000B3B18" w:rsidRPr="00641D44">
        <w:rPr>
          <w:rFonts w:ascii="Arial" w:hAnsi="Arial" w:cs="Arial"/>
          <w:color w:val="000000"/>
          <w:sz w:val="22"/>
          <w:szCs w:val="22"/>
        </w:rPr>
        <w:t>.</w:t>
      </w:r>
      <w:r w:rsidR="00825E4F" w:rsidRPr="00641D44">
        <w:rPr>
          <w:rFonts w:ascii="Arial" w:hAnsi="Arial" w:cs="Arial"/>
          <w:color w:val="000000"/>
          <w:sz w:val="22"/>
          <w:szCs w:val="22"/>
        </w:rPr>
        <w:t xml:space="preserve"> </w:t>
      </w:r>
    </w:p>
    <w:p w14:paraId="6F58EBAC" w14:textId="77777777" w:rsidR="00825E4F" w:rsidRPr="00641D44" w:rsidRDefault="00825E4F" w:rsidP="0072052E">
      <w:pPr>
        <w:pStyle w:val="NormalWeb"/>
        <w:spacing w:before="0" w:beforeAutospacing="0" w:after="0" w:afterAutospacing="0" w:line="360" w:lineRule="auto"/>
        <w:rPr>
          <w:rFonts w:ascii="Arial" w:hAnsi="Arial" w:cs="Arial"/>
          <w:color w:val="000000"/>
          <w:sz w:val="22"/>
          <w:szCs w:val="22"/>
        </w:rPr>
      </w:pPr>
    </w:p>
    <w:p w14:paraId="41562157" w14:textId="6B3A95CF" w:rsidR="00FD480A" w:rsidRPr="00641D44" w:rsidRDefault="000B3B18" w:rsidP="00F0273D">
      <w:pPr>
        <w:pStyle w:val="NormalWeb"/>
        <w:spacing w:before="0" w:beforeAutospacing="0" w:after="0" w:afterAutospacing="0" w:line="360" w:lineRule="auto"/>
        <w:ind w:left="720" w:hanging="720"/>
        <w:jc w:val="both"/>
        <w:rPr>
          <w:rFonts w:ascii="Arial" w:hAnsi="Arial" w:cs="Arial"/>
          <w:color w:val="000000"/>
          <w:sz w:val="22"/>
          <w:szCs w:val="22"/>
        </w:rPr>
      </w:pPr>
      <w:r w:rsidRPr="00641D44">
        <w:rPr>
          <w:rFonts w:ascii="Arial" w:hAnsi="Arial" w:cs="Arial"/>
          <w:color w:val="000000"/>
          <w:sz w:val="22"/>
          <w:szCs w:val="22"/>
        </w:rPr>
        <w:t>5.6</w:t>
      </w:r>
      <w:r w:rsidRPr="00641D44">
        <w:rPr>
          <w:rFonts w:ascii="Arial" w:hAnsi="Arial" w:cs="Arial"/>
          <w:color w:val="000000"/>
          <w:sz w:val="22"/>
          <w:szCs w:val="22"/>
        </w:rPr>
        <w:tab/>
      </w:r>
      <w:r w:rsidR="00825E4F" w:rsidRPr="00641D44">
        <w:rPr>
          <w:rFonts w:ascii="Arial" w:hAnsi="Arial" w:cs="Arial"/>
          <w:color w:val="000000"/>
          <w:sz w:val="22"/>
          <w:szCs w:val="22"/>
        </w:rPr>
        <w:t>F</w:t>
      </w:r>
      <w:r w:rsidR="007238A5" w:rsidRPr="00641D44">
        <w:rPr>
          <w:rFonts w:ascii="Arial" w:hAnsi="Arial" w:cs="Arial"/>
          <w:color w:val="000000"/>
          <w:sz w:val="22"/>
          <w:szCs w:val="22"/>
        </w:rPr>
        <w:t xml:space="preserve">ollowing consideration at the Torbay Local Plan 1995-2011 Public </w:t>
      </w:r>
      <w:r w:rsidR="00A40B40" w:rsidRPr="00641D44">
        <w:rPr>
          <w:rFonts w:ascii="Arial" w:hAnsi="Arial" w:cs="Arial"/>
          <w:color w:val="000000"/>
          <w:sz w:val="22"/>
          <w:szCs w:val="22"/>
        </w:rPr>
        <w:t>Inquiry</w:t>
      </w:r>
      <w:r w:rsidR="007238A5" w:rsidRPr="00641D44">
        <w:rPr>
          <w:rFonts w:ascii="Arial" w:hAnsi="Arial" w:cs="Arial"/>
          <w:color w:val="000000"/>
          <w:sz w:val="22"/>
          <w:szCs w:val="22"/>
        </w:rPr>
        <w:t>, th</w:t>
      </w:r>
      <w:r w:rsidR="008373B5" w:rsidRPr="00641D44">
        <w:rPr>
          <w:rFonts w:ascii="Arial" w:hAnsi="Arial" w:cs="Arial"/>
          <w:color w:val="000000"/>
          <w:sz w:val="22"/>
          <w:szCs w:val="22"/>
        </w:rPr>
        <w:t>e northern part of the site</w:t>
      </w:r>
      <w:r w:rsidR="007238A5" w:rsidRPr="00641D44">
        <w:rPr>
          <w:rFonts w:ascii="Arial" w:hAnsi="Arial" w:cs="Arial"/>
          <w:color w:val="000000"/>
          <w:sz w:val="22"/>
          <w:szCs w:val="22"/>
        </w:rPr>
        <w:t xml:space="preserve"> was included as a business park proposal in the (former) Local </w:t>
      </w:r>
      <w:r w:rsidR="008373B5" w:rsidRPr="00641D44">
        <w:rPr>
          <w:rFonts w:ascii="Arial" w:hAnsi="Arial" w:cs="Arial"/>
          <w:color w:val="000000"/>
          <w:sz w:val="22"/>
          <w:szCs w:val="22"/>
        </w:rPr>
        <w:t>Plan 1995-2011</w:t>
      </w:r>
      <w:r w:rsidR="007238A5" w:rsidRPr="00641D44">
        <w:rPr>
          <w:rFonts w:ascii="Arial" w:hAnsi="Arial" w:cs="Arial"/>
          <w:color w:val="000000"/>
          <w:sz w:val="22"/>
          <w:szCs w:val="22"/>
        </w:rPr>
        <w:t xml:space="preserve"> which was adopted in 2004 (Proposal E1.19). </w:t>
      </w:r>
      <w:r w:rsidR="00FD480A" w:rsidRPr="00641D44">
        <w:rPr>
          <w:rFonts w:ascii="Arial" w:hAnsi="Arial" w:cs="Arial"/>
          <w:color w:val="000000"/>
          <w:sz w:val="22"/>
          <w:szCs w:val="22"/>
        </w:rPr>
        <w:t xml:space="preserve"> White Rock was one of the most controversial issues at the previous Local Plan Inquiry, which took place in 2002-3.  The Inspector’s Report</w:t>
      </w:r>
      <w:r w:rsidRPr="00641D44">
        <w:rPr>
          <w:rFonts w:ascii="Arial" w:hAnsi="Arial" w:cs="Arial"/>
          <w:color w:val="000000"/>
          <w:sz w:val="22"/>
          <w:szCs w:val="22"/>
        </w:rPr>
        <w:t xml:space="preserve"> (CD </w:t>
      </w:r>
      <w:r w:rsidR="00D16ACD" w:rsidRPr="00641D44">
        <w:rPr>
          <w:rFonts w:ascii="Arial" w:hAnsi="Arial" w:cs="Arial"/>
          <w:color w:val="000000"/>
          <w:sz w:val="22"/>
          <w:szCs w:val="22"/>
        </w:rPr>
        <w:t>7.17</w:t>
      </w:r>
      <w:r w:rsidRPr="00641D44">
        <w:rPr>
          <w:rFonts w:ascii="Arial" w:hAnsi="Arial" w:cs="Arial"/>
          <w:color w:val="000000"/>
          <w:sz w:val="22"/>
          <w:szCs w:val="22"/>
        </w:rPr>
        <w:t xml:space="preserve">) </w:t>
      </w:r>
      <w:r w:rsidR="00CB5A76" w:rsidRPr="00641D44">
        <w:rPr>
          <w:rFonts w:ascii="Arial" w:hAnsi="Arial" w:cs="Arial"/>
          <w:color w:val="000000"/>
          <w:sz w:val="22"/>
          <w:szCs w:val="22"/>
        </w:rPr>
        <w:t>describes the site’s landscape sensitivity</w:t>
      </w:r>
      <w:r w:rsidR="00FD480A" w:rsidRPr="00641D44">
        <w:rPr>
          <w:rFonts w:ascii="Arial" w:hAnsi="Arial" w:cs="Arial"/>
          <w:color w:val="000000"/>
          <w:sz w:val="22"/>
          <w:szCs w:val="22"/>
        </w:rPr>
        <w:t xml:space="preserve"> and notes that the proposal on the north of the site would not breach White Rock Knoll, thereby not adversely affecting views across the open countryside (para</w:t>
      </w:r>
      <w:r w:rsidR="000B088A" w:rsidRPr="00641D44">
        <w:rPr>
          <w:rFonts w:ascii="Arial" w:hAnsi="Arial" w:cs="Arial"/>
          <w:color w:val="000000"/>
          <w:sz w:val="22"/>
          <w:szCs w:val="22"/>
        </w:rPr>
        <w:t>graph</w:t>
      </w:r>
      <w:r w:rsidR="00FD480A" w:rsidRPr="00641D44">
        <w:rPr>
          <w:rFonts w:ascii="Arial" w:hAnsi="Arial" w:cs="Arial"/>
          <w:color w:val="000000"/>
          <w:sz w:val="22"/>
          <w:szCs w:val="22"/>
        </w:rPr>
        <w:t xml:space="preserve"> 4.19.3.29</w:t>
      </w:r>
      <w:r w:rsidR="00F305CC" w:rsidRPr="00641D44">
        <w:rPr>
          <w:rFonts w:ascii="Arial" w:hAnsi="Arial" w:cs="Arial"/>
          <w:color w:val="000000"/>
          <w:sz w:val="22"/>
          <w:szCs w:val="22"/>
        </w:rPr>
        <w:t>). He noted that it would be “</w:t>
      </w:r>
      <w:r w:rsidR="00F305CC" w:rsidRPr="00641D44">
        <w:rPr>
          <w:rFonts w:ascii="Arial" w:hAnsi="Arial" w:cs="Arial"/>
          <w:i/>
          <w:color w:val="000000"/>
          <w:sz w:val="22"/>
          <w:szCs w:val="22"/>
        </w:rPr>
        <w:t>wholly unacceptable and unnecessary to breach this ridgeline”.</w:t>
      </w:r>
      <w:r w:rsidR="00F305CC" w:rsidRPr="00641D44">
        <w:rPr>
          <w:rFonts w:ascii="Arial" w:hAnsi="Arial" w:cs="Arial"/>
          <w:color w:val="000000"/>
          <w:sz w:val="22"/>
          <w:szCs w:val="22"/>
        </w:rPr>
        <w:t xml:space="preserve"> (4.19.3.38). The Inspector </w:t>
      </w:r>
      <w:r w:rsidR="00FD480A" w:rsidRPr="00641D44">
        <w:rPr>
          <w:rFonts w:ascii="Arial" w:hAnsi="Arial" w:cs="Arial"/>
          <w:color w:val="000000"/>
          <w:sz w:val="22"/>
          <w:szCs w:val="22"/>
        </w:rPr>
        <w:t>was clearly concerned about the visibility of the site from key vantage points in the AONB</w:t>
      </w:r>
      <w:r w:rsidR="00D34260" w:rsidRPr="00641D44">
        <w:rPr>
          <w:rFonts w:ascii="Arial" w:hAnsi="Arial" w:cs="Arial"/>
          <w:color w:val="000000"/>
          <w:sz w:val="22"/>
          <w:szCs w:val="22"/>
        </w:rPr>
        <w:t>.</w:t>
      </w:r>
      <w:r w:rsidR="008373B5" w:rsidRPr="00641D44">
        <w:rPr>
          <w:rFonts w:ascii="Arial" w:hAnsi="Arial" w:cs="Arial"/>
          <w:color w:val="000000"/>
          <w:sz w:val="22"/>
          <w:szCs w:val="22"/>
        </w:rPr>
        <w:t xml:space="preserve"> </w:t>
      </w:r>
      <w:r w:rsidR="00D34260" w:rsidRPr="00641D44">
        <w:rPr>
          <w:rFonts w:ascii="Arial" w:hAnsi="Arial" w:cs="Arial"/>
          <w:color w:val="000000"/>
          <w:sz w:val="22"/>
          <w:szCs w:val="22"/>
        </w:rPr>
        <w:t xml:space="preserve"> His decision to recommend that even </w:t>
      </w:r>
      <w:r w:rsidR="00F0273D" w:rsidRPr="00641D44">
        <w:rPr>
          <w:rFonts w:ascii="Arial" w:hAnsi="Arial" w:cs="Arial"/>
          <w:color w:val="000000"/>
          <w:sz w:val="22"/>
          <w:szCs w:val="22"/>
        </w:rPr>
        <w:t xml:space="preserve">the </w:t>
      </w:r>
      <w:r w:rsidR="00D34260" w:rsidRPr="00641D44">
        <w:rPr>
          <w:rFonts w:ascii="Arial" w:hAnsi="Arial" w:cs="Arial"/>
          <w:color w:val="000000"/>
          <w:sz w:val="22"/>
          <w:szCs w:val="22"/>
        </w:rPr>
        <w:t>less sensitive</w:t>
      </w:r>
      <w:r w:rsidR="008373B5" w:rsidRPr="00641D44">
        <w:rPr>
          <w:rFonts w:ascii="Arial" w:hAnsi="Arial" w:cs="Arial"/>
          <w:color w:val="000000"/>
          <w:sz w:val="22"/>
          <w:szCs w:val="22"/>
        </w:rPr>
        <w:t xml:space="preserve"> northern</w:t>
      </w:r>
      <w:r w:rsidR="00D34260" w:rsidRPr="00641D44">
        <w:rPr>
          <w:rFonts w:ascii="Arial" w:hAnsi="Arial" w:cs="Arial"/>
          <w:color w:val="000000"/>
          <w:sz w:val="22"/>
          <w:szCs w:val="22"/>
        </w:rPr>
        <w:t xml:space="preserve"> part of the 1997 appeal </w:t>
      </w:r>
      <w:r w:rsidR="008373B5" w:rsidRPr="00641D44">
        <w:rPr>
          <w:rFonts w:ascii="Arial" w:hAnsi="Arial" w:cs="Arial"/>
          <w:color w:val="000000"/>
          <w:sz w:val="22"/>
          <w:szCs w:val="22"/>
        </w:rPr>
        <w:t>site</w:t>
      </w:r>
      <w:r w:rsidR="00D34260" w:rsidRPr="00641D44">
        <w:rPr>
          <w:rFonts w:ascii="Arial" w:hAnsi="Arial" w:cs="Arial"/>
          <w:color w:val="000000"/>
          <w:sz w:val="22"/>
          <w:szCs w:val="22"/>
        </w:rPr>
        <w:t xml:space="preserve"> could proceed was clearly an on-balance decision and subject to </w:t>
      </w:r>
      <w:r w:rsidR="00D34260" w:rsidRPr="00641D44">
        <w:rPr>
          <w:rFonts w:ascii="Arial" w:hAnsi="Arial" w:cs="Arial"/>
          <w:i/>
          <w:color w:val="000000"/>
          <w:sz w:val="22"/>
          <w:szCs w:val="22"/>
        </w:rPr>
        <w:t>“sufficient safeguards to minimise the visual impact of development. I consider that these safeguards must be rigorously observed, in order to achieve an acceptable development</w:t>
      </w:r>
      <w:r w:rsidR="000B088A" w:rsidRPr="00641D44">
        <w:rPr>
          <w:rFonts w:ascii="Arial" w:hAnsi="Arial" w:cs="Arial"/>
          <w:i/>
          <w:color w:val="000000"/>
          <w:sz w:val="22"/>
          <w:szCs w:val="22"/>
        </w:rPr>
        <w:t>”</w:t>
      </w:r>
      <w:r w:rsidR="00D34260" w:rsidRPr="00641D44">
        <w:rPr>
          <w:rFonts w:ascii="Arial" w:hAnsi="Arial" w:cs="Arial"/>
          <w:i/>
          <w:color w:val="000000"/>
          <w:sz w:val="22"/>
          <w:szCs w:val="22"/>
        </w:rPr>
        <w:t xml:space="preserve"> (</w:t>
      </w:r>
      <w:r w:rsidR="00D34260" w:rsidRPr="00641D44">
        <w:rPr>
          <w:rFonts w:ascii="Arial" w:hAnsi="Arial" w:cs="Arial"/>
          <w:color w:val="000000"/>
          <w:sz w:val="22"/>
          <w:szCs w:val="22"/>
        </w:rPr>
        <w:t>4.19.3</w:t>
      </w:r>
      <w:r w:rsidR="00F305CC" w:rsidRPr="00641D44">
        <w:rPr>
          <w:rFonts w:ascii="Arial" w:hAnsi="Arial" w:cs="Arial"/>
          <w:color w:val="000000"/>
          <w:sz w:val="22"/>
          <w:szCs w:val="22"/>
        </w:rPr>
        <w:t>.</w:t>
      </w:r>
      <w:r w:rsidR="00D34260" w:rsidRPr="00641D44">
        <w:rPr>
          <w:rFonts w:ascii="Arial" w:hAnsi="Arial" w:cs="Arial"/>
          <w:color w:val="000000"/>
          <w:sz w:val="22"/>
          <w:szCs w:val="22"/>
        </w:rPr>
        <w:t>3</w:t>
      </w:r>
      <w:r w:rsidR="00D34260" w:rsidRPr="00641D44">
        <w:rPr>
          <w:rFonts w:ascii="Arial" w:hAnsi="Arial" w:cs="Arial"/>
          <w:i/>
          <w:color w:val="000000"/>
          <w:sz w:val="22"/>
          <w:szCs w:val="22"/>
        </w:rPr>
        <w:t xml:space="preserve">7).  </w:t>
      </w:r>
    </w:p>
    <w:p w14:paraId="2049EA30" w14:textId="77777777" w:rsidR="00FD480A" w:rsidRPr="00641D44" w:rsidRDefault="00FD480A" w:rsidP="0072052E">
      <w:pPr>
        <w:pStyle w:val="NormalWeb"/>
        <w:spacing w:before="0" w:beforeAutospacing="0" w:after="0" w:afterAutospacing="0" w:line="360" w:lineRule="auto"/>
        <w:rPr>
          <w:rFonts w:ascii="Arial" w:hAnsi="Arial" w:cs="Arial"/>
          <w:color w:val="000000"/>
          <w:sz w:val="22"/>
          <w:szCs w:val="22"/>
        </w:rPr>
      </w:pPr>
    </w:p>
    <w:p w14:paraId="474F5A6D" w14:textId="77777777" w:rsidR="00DC7C22" w:rsidRPr="00641D44" w:rsidRDefault="000B3B18" w:rsidP="00BC2A45">
      <w:pPr>
        <w:pStyle w:val="NormalWeb"/>
        <w:spacing w:before="0" w:beforeAutospacing="0" w:after="0" w:afterAutospacing="0" w:line="360" w:lineRule="auto"/>
        <w:ind w:left="720" w:hanging="720"/>
        <w:jc w:val="both"/>
        <w:rPr>
          <w:rFonts w:ascii="Arial" w:hAnsi="Arial" w:cs="Arial"/>
          <w:color w:val="000000"/>
          <w:sz w:val="22"/>
          <w:szCs w:val="22"/>
        </w:rPr>
      </w:pPr>
      <w:r w:rsidRPr="00641D44">
        <w:rPr>
          <w:rFonts w:ascii="Arial" w:hAnsi="Arial" w:cs="Arial"/>
          <w:color w:val="000000"/>
          <w:sz w:val="22"/>
          <w:szCs w:val="22"/>
        </w:rPr>
        <w:t>5.7</w:t>
      </w:r>
      <w:r w:rsidRPr="00641D44">
        <w:rPr>
          <w:rFonts w:ascii="Arial" w:hAnsi="Arial" w:cs="Arial"/>
          <w:color w:val="000000"/>
          <w:sz w:val="22"/>
          <w:szCs w:val="22"/>
        </w:rPr>
        <w:tab/>
      </w:r>
      <w:r w:rsidR="007238A5" w:rsidRPr="00641D44">
        <w:rPr>
          <w:rFonts w:ascii="Arial" w:hAnsi="Arial" w:cs="Arial"/>
          <w:color w:val="000000"/>
          <w:sz w:val="22"/>
          <w:szCs w:val="22"/>
        </w:rPr>
        <w:t xml:space="preserve">This northern area is now </w:t>
      </w:r>
      <w:r w:rsidRPr="00641D44">
        <w:rPr>
          <w:rFonts w:ascii="Arial" w:hAnsi="Arial" w:cs="Arial"/>
          <w:color w:val="000000"/>
          <w:sz w:val="22"/>
          <w:szCs w:val="22"/>
        </w:rPr>
        <w:t xml:space="preserve">being developed as “White Rock”.  </w:t>
      </w:r>
      <w:r w:rsidR="007238A5" w:rsidRPr="00641D44">
        <w:rPr>
          <w:rFonts w:ascii="Arial" w:hAnsi="Arial" w:cs="Arial"/>
          <w:color w:val="000000"/>
          <w:sz w:val="22"/>
          <w:szCs w:val="22"/>
        </w:rPr>
        <w:t xml:space="preserve">A number of planning applications </w:t>
      </w:r>
      <w:r w:rsidR="00D34260" w:rsidRPr="00641D44">
        <w:rPr>
          <w:rFonts w:ascii="Arial" w:hAnsi="Arial" w:cs="Arial"/>
          <w:color w:val="000000"/>
          <w:sz w:val="22"/>
          <w:szCs w:val="22"/>
        </w:rPr>
        <w:t>were</w:t>
      </w:r>
      <w:r w:rsidR="007238A5" w:rsidRPr="00641D44">
        <w:rPr>
          <w:rFonts w:ascii="Arial" w:hAnsi="Arial" w:cs="Arial"/>
          <w:color w:val="000000"/>
          <w:sz w:val="22"/>
          <w:szCs w:val="22"/>
        </w:rPr>
        <w:t xml:space="preserve"> submitted to develop the land </w:t>
      </w:r>
      <w:r w:rsidR="00CB5A76" w:rsidRPr="00641D44">
        <w:rPr>
          <w:rFonts w:ascii="Arial" w:hAnsi="Arial" w:cs="Arial"/>
          <w:color w:val="000000"/>
          <w:sz w:val="22"/>
          <w:szCs w:val="22"/>
        </w:rPr>
        <w:t>at</w:t>
      </w:r>
      <w:r w:rsidR="007238A5" w:rsidRPr="00641D44">
        <w:rPr>
          <w:rFonts w:ascii="Arial" w:hAnsi="Arial" w:cs="Arial"/>
          <w:color w:val="000000"/>
          <w:sz w:val="22"/>
          <w:szCs w:val="22"/>
        </w:rPr>
        <w:t xml:space="preserve"> White Rock, including a business park P/2004/1621. This was approved</w:t>
      </w:r>
      <w:r w:rsidR="00D20517" w:rsidRPr="00641D44">
        <w:rPr>
          <w:rFonts w:ascii="Arial" w:hAnsi="Arial" w:cs="Arial"/>
          <w:color w:val="000000"/>
          <w:sz w:val="22"/>
          <w:szCs w:val="22"/>
        </w:rPr>
        <w:t xml:space="preserve"> </w:t>
      </w:r>
      <w:r w:rsidR="007238A5" w:rsidRPr="00641D44">
        <w:rPr>
          <w:rFonts w:ascii="Arial" w:hAnsi="Arial" w:cs="Arial"/>
          <w:color w:val="000000"/>
          <w:sz w:val="22"/>
          <w:szCs w:val="22"/>
        </w:rPr>
        <w:t xml:space="preserve">but not implemented. </w:t>
      </w:r>
      <w:r w:rsidR="00D20517" w:rsidRPr="00641D44">
        <w:rPr>
          <w:rFonts w:ascii="Arial" w:hAnsi="Arial" w:cs="Arial"/>
          <w:color w:val="000000"/>
          <w:sz w:val="22"/>
          <w:szCs w:val="22"/>
        </w:rPr>
        <w:t xml:space="preserve"> Instead, application </w:t>
      </w:r>
      <w:r w:rsidR="007238A5" w:rsidRPr="00641D44">
        <w:rPr>
          <w:rFonts w:ascii="Arial" w:hAnsi="Arial" w:cs="Arial"/>
          <w:color w:val="000000"/>
          <w:sz w:val="22"/>
          <w:szCs w:val="22"/>
        </w:rPr>
        <w:t>P/2011/0197</w:t>
      </w:r>
      <w:r w:rsidR="000B088A" w:rsidRPr="00641D44">
        <w:rPr>
          <w:rFonts w:ascii="Arial" w:hAnsi="Arial" w:cs="Arial"/>
          <w:color w:val="000000"/>
          <w:sz w:val="22"/>
          <w:szCs w:val="22"/>
        </w:rPr>
        <w:t xml:space="preserve"> for the m</w:t>
      </w:r>
      <w:r w:rsidR="007238A5" w:rsidRPr="00641D44">
        <w:rPr>
          <w:rFonts w:ascii="Arial" w:hAnsi="Arial" w:cs="Arial"/>
          <w:color w:val="000000"/>
          <w:sz w:val="22"/>
          <w:szCs w:val="22"/>
        </w:rPr>
        <w:t xml:space="preserve">ixed use development of 39 ha at White Rock Paignton, </w:t>
      </w:r>
      <w:r w:rsidR="000B088A" w:rsidRPr="00641D44">
        <w:rPr>
          <w:rFonts w:ascii="Arial" w:hAnsi="Arial" w:cs="Arial"/>
          <w:color w:val="000000"/>
          <w:sz w:val="22"/>
          <w:szCs w:val="22"/>
        </w:rPr>
        <w:t>including</w:t>
      </w:r>
      <w:r w:rsidR="007238A5" w:rsidRPr="00641D44">
        <w:rPr>
          <w:rFonts w:ascii="Arial" w:hAnsi="Arial" w:cs="Arial"/>
          <w:color w:val="000000"/>
          <w:sz w:val="22"/>
          <w:szCs w:val="22"/>
        </w:rPr>
        <w:t xml:space="preserve"> 350 dwellings, approximately 36,800 sq. m gross employment floorspace, local centre including food retail (up to 1652 sq. m gross) with additional 392 sq. m A1/A3 use and student accommodation, approximately 15 ha of open space, sports pavilion and associated infrastructure and engineering works to provide access, drainage and landscape (outline application</w:t>
      </w:r>
      <w:r w:rsidR="00D20517" w:rsidRPr="00641D44">
        <w:rPr>
          <w:rFonts w:ascii="Arial" w:hAnsi="Arial" w:cs="Arial"/>
          <w:color w:val="000000"/>
          <w:sz w:val="22"/>
          <w:szCs w:val="22"/>
        </w:rPr>
        <w:t>)</w:t>
      </w:r>
      <w:r w:rsidR="00CB5A76" w:rsidRPr="00641D44">
        <w:rPr>
          <w:rFonts w:ascii="Arial" w:hAnsi="Arial" w:cs="Arial"/>
          <w:color w:val="000000"/>
          <w:sz w:val="22"/>
          <w:szCs w:val="22"/>
        </w:rPr>
        <w:t>,</w:t>
      </w:r>
      <w:r w:rsidR="00D20517" w:rsidRPr="00641D44">
        <w:rPr>
          <w:rFonts w:ascii="Arial" w:hAnsi="Arial" w:cs="Arial"/>
          <w:color w:val="000000"/>
          <w:sz w:val="22"/>
          <w:szCs w:val="22"/>
        </w:rPr>
        <w:t xml:space="preserve"> was approved with a s106 Agreement on 29 April 2013.</w:t>
      </w:r>
      <w:r w:rsidR="00D20517" w:rsidRPr="00641D44">
        <w:rPr>
          <w:rFonts w:ascii="Arial" w:hAnsi="Arial" w:cs="Arial"/>
          <w:b/>
          <w:color w:val="000000"/>
          <w:sz w:val="22"/>
          <w:szCs w:val="22"/>
        </w:rPr>
        <w:t xml:space="preserve">  </w:t>
      </w:r>
      <w:r w:rsidR="00D20517" w:rsidRPr="00641D44">
        <w:rPr>
          <w:rFonts w:ascii="Arial" w:hAnsi="Arial" w:cs="Arial"/>
          <w:color w:val="000000"/>
          <w:sz w:val="22"/>
          <w:szCs w:val="22"/>
        </w:rPr>
        <w:t>A subsequent s106 Agreement relating to phasing and the Landscape and Ecology Mitigation Plan (LEMP) was signed on 17 April 2014.</w:t>
      </w:r>
      <w:r w:rsidR="00A51405" w:rsidRPr="00641D44">
        <w:rPr>
          <w:rFonts w:ascii="Arial" w:hAnsi="Arial" w:cs="Arial"/>
          <w:color w:val="000000"/>
          <w:sz w:val="22"/>
          <w:szCs w:val="22"/>
        </w:rPr>
        <w:t xml:space="preserve"> </w:t>
      </w:r>
      <w:r w:rsidR="00DC7C22" w:rsidRPr="00641D44">
        <w:rPr>
          <w:rFonts w:ascii="Arial" w:hAnsi="Arial" w:cs="Arial"/>
          <w:color w:val="000000"/>
          <w:sz w:val="22"/>
          <w:szCs w:val="22"/>
        </w:rPr>
        <w:t xml:space="preserve"> The </w:t>
      </w:r>
      <w:r w:rsidR="00DC7C22" w:rsidRPr="00641D44">
        <w:rPr>
          <w:rFonts w:ascii="Arial" w:hAnsi="Arial" w:cs="Arial"/>
          <w:color w:val="000000"/>
          <w:sz w:val="22"/>
          <w:szCs w:val="22"/>
        </w:rPr>
        <w:lastRenderedPageBreak/>
        <w:t xml:space="preserve">LEMP for White Rock covers part of the current appeal site, and was consequently proposed for a “new Countryside Access and Enhancement Scheme” by Policy SS9.3 of the Local Plan. .   </w:t>
      </w:r>
      <w:r w:rsidR="00A51405" w:rsidRPr="00641D44">
        <w:rPr>
          <w:rFonts w:ascii="Arial" w:hAnsi="Arial" w:cs="Arial"/>
          <w:color w:val="000000"/>
          <w:sz w:val="22"/>
          <w:szCs w:val="22"/>
        </w:rPr>
        <w:t xml:space="preserve"> </w:t>
      </w:r>
    </w:p>
    <w:p w14:paraId="01158703" w14:textId="77777777" w:rsidR="00DC7C22" w:rsidRPr="00641D44" w:rsidRDefault="00DC7C22" w:rsidP="00BC2A45">
      <w:pPr>
        <w:pStyle w:val="NormalWeb"/>
        <w:spacing w:before="0" w:beforeAutospacing="0" w:after="0" w:afterAutospacing="0" w:line="360" w:lineRule="auto"/>
        <w:ind w:left="720" w:hanging="720"/>
        <w:jc w:val="both"/>
        <w:rPr>
          <w:rFonts w:ascii="Arial" w:hAnsi="Arial" w:cs="Arial"/>
          <w:color w:val="000000"/>
          <w:sz w:val="22"/>
          <w:szCs w:val="22"/>
        </w:rPr>
      </w:pPr>
    </w:p>
    <w:p w14:paraId="4EA9F646" w14:textId="426FF54B" w:rsidR="00D20517" w:rsidRPr="00641D44" w:rsidRDefault="00DC7C22" w:rsidP="00BC2A45">
      <w:pPr>
        <w:pStyle w:val="NormalWeb"/>
        <w:spacing w:before="0" w:beforeAutospacing="0" w:after="0" w:afterAutospacing="0" w:line="360" w:lineRule="auto"/>
        <w:ind w:left="720" w:hanging="720"/>
        <w:jc w:val="both"/>
        <w:rPr>
          <w:rFonts w:ascii="Arial" w:hAnsi="Arial" w:cs="Arial"/>
          <w:color w:val="000000"/>
          <w:sz w:val="22"/>
          <w:szCs w:val="22"/>
        </w:rPr>
      </w:pPr>
      <w:r w:rsidRPr="00641D44">
        <w:rPr>
          <w:rFonts w:ascii="Arial" w:hAnsi="Arial" w:cs="Arial"/>
          <w:color w:val="000000"/>
          <w:sz w:val="22"/>
          <w:szCs w:val="22"/>
        </w:rPr>
        <w:t>5.8</w:t>
      </w:r>
      <w:r w:rsidRPr="00641D44">
        <w:rPr>
          <w:rFonts w:ascii="Arial" w:hAnsi="Arial" w:cs="Arial"/>
          <w:color w:val="000000"/>
          <w:sz w:val="22"/>
          <w:szCs w:val="22"/>
        </w:rPr>
        <w:tab/>
      </w:r>
      <w:r w:rsidR="00A51405" w:rsidRPr="00641D44">
        <w:rPr>
          <w:rFonts w:ascii="Arial" w:hAnsi="Arial" w:cs="Arial"/>
          <w:color w:val="000000"/>
          <w:sz w:val="22"/>
          <w:szCs w:val="22"/>
        </w:rPr>
        <w:t>Th</w:t>
      </w:r>
      <w:r w:rsidRPr="00641D44">
        <w:rPr>
          <w:rFonts w:ascii="Arial" w:hAnsi="Arial" w:cs="Arial"/>
          <w:color w:val="000000"/>
          <w:sz w:val="22"/>
          <w:szCs w:val="22"/>
        </w:rPr>
        <w:t xml:space="preserve">e White Rock area </w:t>
      </w:r>
      <w:r w:rsidR="00A51405" w:rsidRPr="00641D44">
        <w:rPr>
          <w:rFonts w:ascii="Arial" w:hAnsi="Arial" w:cs="Arial"/>
          <w:color w:val="000000"/>
          <w:sz w:val="22"/>
          <w:szCs w:val="22"/>
        </w:rPr>
        <w:t>is currently in its latter stages of being built out</w:t>
      </w:r>
      <w:r w:rsidRPr="00641D44">
        <w:rPr>
          <w:rFonts w:ascii="Arial" w:hAnsi="Arial" w:cs="Arial"/>
          <w:color w:val="000000"/>
          <w:sz w:val="22"/>
          <w:szCs w:val="22"/>
        </w:rPr>
        <w:t xml:space="preserve">. </w:t>
      </w:r>
    </w:p>
    <w:p w14:paraId="5752A96B" w14:textId="77777777" w:rsidR="001B0CB9" w:rsidRPr="00641D44" w:rsidRDefault="001B0CB9" w:rsidP="001B0CB9">
      <w:pPr>
        <w:pStyle w:val="NormalWeb"/>
        <w:spacing w:before="0" w:beforeAutospacing="0" w:after="0" w:afterAutospacing="0" w:line="360" w:lineRule="auto"/>
        <w:rPr>
          <w:rFonts w:ascii="Arial" w:hAnsi="Arial" w:cs="Arial"/>
          <w:color w:val="000000"/>
          <w:sz w:val="22"/>
          <w:szCs w:val="22"/>
        </w:rPr>
      </w:pPr>
    </w:p>
    <w:p w14:paraId="45FE7062" w14:textId="77777777" w:rsidR="00FB4180" w:rsidRPr="00641D44" w:rsidRDefault="000B3B18" w:rsidP="0072052E">
      <w:pPr>
        <w:spacing w:line="360" w:lineRule="auto"/>
        <w:rPr>
          <w:rFonts w:ascii="Arial" w:hAnsi="Arial" w:cs="Arial"/>
          <w:b/>
        </w:rPr>
      </w:pPr>
      <w:r w:rsidRPr="00641D44">
        <w:rPr>
          <w:rFonts w:ascii="Arial" w:hAnsi="Arial" w:cs="Arial"/>
        </w:rPr>
        <w:tab/>
      </w:r>
      <w:r w:rsidRPr="00641D44">
        <w:rPr>
          <w:rFonts w:ascii="Arial" w:hAnsi="Arial" w:cs="Arial"/>
          <w:b/>
        </w:rPr>
        <w:t xml:space="preserve">The Local Plan 2012-30 </w:t>
      </w:r>
    </w:p>
    <w:p w14:paraId="6D1D2476" w14:textId="52FA466F" w:rsidR="00A51405" w:rsidRPr="00641D44" w:rsidRDefault="000B3B18" w:rsidP="00BC2A45">
      <w:pPr>
        <w:pStyle w:val="NormalWeb"/>
        <w:spacing w:before="0" w:beforeAutospacing="0" w:after="0" w:afterAutospacing="0" w:line="360" w:lineRule="auto"/>
        <w:ind w:left="720" w:hanging="720"/>
        <w:jc w:val="both"/>
        <w:rPr>
          <w:rFonts w:ascii="Arial" w:hAnsi="Arial" w:cs="Arial"/>
          <w:sz w:val="22"/>
          <w:szCs w:val="22"/>
        </w:rPr>
      </w:pPr>
      <w:r w:rsidRPr="00641D44">
        <w:rPr>
          <w:rFonts w:ascii="Arial" w:hAnsi="Arial" w:cs="Arial"/>
          <w:color w:val="000000"/>
          <w:sz w:val="22"/>
          <w:szCs w:val="22"/>
        </w:rPr>
        <w:t>5.</w:t>
      </w:r>
      <w:r w:rsidR="00DC7C22" w:rsidRPr="00641D44">
        <w:rPr>
          <w:rFonts w:ascii="Arial" w:hAnsi="Arial" w:cs="Arial"/>
          <w:color w:val="000000"/>
          <w:sz w:val="22"/>
          <w:szCs w:val="22"/>
        </w:rPr>
        <w:t>9</w:t>
      </w:r>
      <w:r w:rsidRPr="00641D44">
        <w:rPr>
          <w:rFonts w:ascii="Arial" w:hAnsi="Arial" w:cs="Arial"/>
          <w:color w:val="000000"/>
          <w:sz w:val="22"/>
          <w:szCs w:val="22"/>
        </w:rPr>
        <w:tab/>
      </w:r>
      <w:r w:rsidR="008373B5" w:rsidRPr="00641D44">
        <w:rPr>
          <w:rFonts w:ascii="Arial" w:hAnsi="Arial" w:cs="Arial"/>
          <w:color w:val="000000"/>
          <w:sz w:val="22"/>
          <w:szCs w:val="22"/>
        </w:rPr>
        <w:t xml:space="preserve">The land to the south of White Rock – now referred to as </w:t>
      </w:r>
      <w:r w:rsidR="001B0CB9" w:rsidRPr="00641D44">
        <w:rPr>
          <w:rFonts w:ascii="Arial" w:hAnsi="Arial" w:cs="Arial"/>
          <w:color w:val="000000"/>
          <w:sz w:val="22"/>
          <w:szCs w:val="22"/>
        </w:rPr>
        <w:t>“</w:t>
      </w:r>
      <w:r w:rsidR="008373B5" w:rsidRPr="00641D44">
        <w:rPr>
          <w:rFonts w:ascii="Arial" w:hAnsi="Arial" w:cs="Arial"/>
          <w:color w:val="000000"/>
          <w:sz w:val="22"/>
          <w:szCs w:val="22"/>
        </w:rPr>
        <w:t>Inglewood</w:t>
      </w:r>
      <w:r w:rsidR="001B0CB9" w:rsidRPr="00641D44">
        <w:rPr>
          <w:rFonts w:ascii="Arial" w:hAnsi="Arial" w:cs="Arial"/>
          <w:color w:val="000000"/>
          <w:sz w:val="22"/>
          <w:szCs w:val="22"/>
        </w:rPr>
        <w:t>”</w:t>
      </w:r>
      <w:r w:rsidR="008373B5" w:rsidRPr="00641D44">
        <w:rPr>
          <w:rFonts w:ascii="Arial" w:hAnsi="Arial" w:cs="Arial"/>
          <w:color w:val="000000"/>
          <w:sz w:val="22"/>
          <w:szCs w:val="22"/>
        </w:rPr>
        <w:t xml:space="preserve"> </w:t>
      </w:r>
      <w:r w:rsidR="000B088A" w:rsidRPr="00641D44">
        <w:rPr>
          <w:rFonts w:ascii="Arial" w:hAnsi="Arial" w:cs="Arial"/>
          <w:color w:val="000000"/>
          <w:sz w:val="22"/>
          <w:szCs w:val="22"/>
        </w:rPr>
        <w:t xml:space="preserve">- </w:t>
      </w:r>
      <w:r w:rsidR="008373B5" w:rsidRPr="00641D44">
        <w:rPr>
          <w:rFonts w:ascii="Arial" w:hAnsi="Arial" w:cs="Arial"/>
          <w:color w:val="000000"/>
          <w:sz w:val="22"/>
          <w:szCs w:val="22"/>
        </w:rPr>
        <w:t xml:space="preserve">was considered in the Local Plan 2012-30.  </w:t>
      </w:r>
      <w:r w:rsidR="00FB4180" w:rsidRPr="00641D44">
        <w:rPr>
          <w:rFonts w:ascii="Arial" w:hAnsi="Arial" w:cs="Arial"/>
          <w:sz w:val="22"/>
          <w:szCs w:val="22"/>
        </w:rPr>
        <w:t xml:space="preserve">The site was </w:t>
      </w:r>
      <w:r w:rsidRPr="00641D44">
        <w:rPr>
          <w:rFonts w:ascii="Arial" w:hAnsi="Arial" w:cs="Arial"/>
          <w:sz w:val="22"/>
          <w:szCs w:val="22"/>
        </w:rPr>
        <w:t>assessed</w:t>
      </w:r>
      <w:r w:rsidR="00FB4180" w:rsidRPr="00641D44">
        <w:rPr>
          <w:rFonts w:ascii="Arial" w:hAnsi="Arial" w:cs="Arial"/>
          <w:sz w:val="22"/>
          <w:szCs w:val="22"/>
        </w:rPr>
        <w:t xml:space="preserve"> as part of the Landscape Character Assessment, carried ou</w:t>
      </w:r>
      <w:r w:rsidRPr="00641D44">
        <w:rPr>
          <w:rFonts w:ascii="Arial" w:hAnsi="Arial" w:cs="Arial"/>
          <w:sz w:val="22"/>
          <w:szCs w:val="22"/>
        </w:rPr>
        <w:t xml:space="preserve">t by Enderby Associates in 2010 (CD </w:t>
      </w:r>
      <w:r w:rsidR="00F16B1A" w:rsidRPr="00641D44">
        <w:rPr>
          <w:rFonts w:ascii="Arial" w:hAnsi="Arial" w:cs="Arial"/>
          <w:sz w:val="22"/>
          <w:szCs w:val="22"/>
        </w:rPr>
        <w:t>6.1 and 6.2</w:t>
      </w:r>
      <w:r w:rsidR="00BC2A45" w:rsidRPr="00641D44">
        <w:rPr>
          <w:rFonts w:ascii="Arial" w:hAnsi="Arial" w:cs="Arial"/>
          <w:sz w:val="22"/>
          <w:szCs w:val="22"/>
        </w:rPr>
        <w:t xml:space="preserve">). </w:t>
      </w:r>
      <w:r w:rsidR="00FB4180" w:rsidRPr="00641D44">
        <w:rPr>
          <w:rFonts w:ascii="Arial" w:hAnsi="Arial" w:cs="Arial"/>
          <w:sz w:val="22"/>
          <w:szCs w:val="22"/>
        </w:rPr>
        <w:t>This defined the land as 1O Rolling Farmland</w:t>
      </w:r>
      <w:r w:rsidR="00E30D50" w:rsidRPr="00641D44">
        <w:rPr>
          <w:rFonts w:ascii="Arial" w:hAnsi="Arial" w:cs="Arial"/>
          <w:sz w:val="22"/>
          <w:szCs w:val="22"/>
        </w:rPr>
        <w:t xml:space="preserve">, within the North Galmpton Area of Local Character, </w:t>
      </w:r>
      <w:r w:rsidR="00FB4180" w:rsidRPr="00641D44">
        <w:rPr>
          <w:rFonts w:ascii="Arial" w:hAnsi="Arial" w:cs="Arial"/>
          <w:sz w:val="22"/>
          <w:szCs w:val="22"/>
        </w:rPr>
        <w:t xml:space="preserve">which was overall </w:t>
      </w:r>
      <w:r w:rsidR="000B088A" w:rsidRPr="00641D44">
        <w:rPr>
          <w:rFonts w:ascii="Arial" w:hAnsi="Arial" w:cs="Arial"/>
          <w:sz w:val="22"/>
          <w:szCs w:val="22"/>
        </w:rPr>
        <w:t>“</w:t>
      </w:r>
      <w:r w:rsidR="00FB4180" w:rsidRPr="00641D44">
        <w:rPr>
          <w:rFonts w:ascii="Arial" w:hAnsi="Arial" w:cs="Arial"/>
          <w:sz w:val="22"/>
          <w:szCs w:val="22"/>
        </w:rPr>
        <w:t>highly sensitive</w:t>
      </w:r>
      <w:r w:rsidR="000B088A" w:rsidRPr="00641D44">
        <w:rPr>
          <w:rFonts w:ascii="Arial" w:hAnsi="Arial" w:cs="Arial"/>
          <w:sz w:val="22"/>
          <w:szCs w:val="22"/>
        </w:rPr>
        <w:t>”. It</w:t>
      </w:r>
      <w:r w:rsidR="00FB4180" w:rsidRPr="00641D44">
        <w:rPr>
          <w:rFonts w:ascii="Arial" w:hAnsi="Arial" w:cs="Arial"/>
          <w:sz w:val="22"/>
          <w:szCs w:val="22"/>
        </w:rPr>
        <w:t xml:space="preserve"> recommended a management strategy of enhancement.</w:t>
      </w:r>
      <w:r w:rsidRPr="00641D44">
        <w:rPr>
          <w:rFonts w:ascii="Arial" w:hAnsi="Arial" w:cs="Arial"/>
          <w:sz w:val="22"/>
          <w:szCs w:val="22"/>
        </w:rPr>
        <w:t xml:space="preserve">  There has been no significant change in the landscape character or policy context that would rende</w:t>
      </w:r>
      <w:r w:rsidR="000B088A" w:rsidRPr="00641D44">
        <w:rPr>
          <w:rFonts w:ascii="Arial" w:hAnsi="Arial" w:cs="Arial"/>
          <w:sz w:val="22"/>
          <w:szCs w:val="22"/>
        </w:rPr>
        <w:t>r</w:t>
      </w:r>
      <w:r w:rsidRPr="00641D44">
        <w:rPr>
          <w:rFonts w:ascii="Arial" w:hAnsi="Arial" w:cs="Arial"/>
          <w:sz w:val="22"/>
          <w:szCs w:val="22"/>
        </w:rPr>
        <w:t xml:space="preserve"> this assessment as being out of date.  </w:t>
      </w:r>
    </w:p>
    <w:p w14:paraId="0AC4A7FB" w14:textId="77777777" w:rsidR="00A51405" w:rsidRPr="00641D44" w:rsidRDefault="00A51405" w:rsidP="00BC2A45">
      <w:pPr>
        <w:pStyle w:val="NormalWeb"/>
        <w:spacing w:before="0" w:beforeAutospacing="0" w:after="0" w:afterAutospacing="0" w:line="360" w:lineRule="auto"/>
        <w:ind w:left="720" w:hanging="720"/>
        <w:jc w:val="both"/>
        <w:rPr>
          <w:rFonts w:ascii="Arial" w:hAnsi="Arial" w:cs="Arial"/>
          <w:sz w:val="22"/>
          <w:szCs w:val="22"/>
        </w:rPr>
      </w:pPr>
    </w:p>
    <w:p w14:paraId="4D2A2775" w14:textId="58A35F2A" w:rsidR="007853EE" w:rsidRPr="00641D44" w:rsidRDefault="00A51405" w:rsidP="00BC2A45">
      <w:pPr>
        <w:pStyle w:val="NormalWeb"/>
        <w:spacing w:before="0" w:beforeAutospacing="0" w:after="0" w:afterAutospacing="0" w:line="360" w:lineRule="auto"/>
        <w:ind w:left="720" w:hanging="720"/>
        <w:jc w:val="both"/>
        <w:rPr>
          <w:rFonts w:ascii="Arial" w:hAnsi="Arial" w:cs="Arial"/>
          <w:sz w:val="22"/>
          <w:szCs w:val="22"/>
        </w:rPr>
      </w:pPr>
      <w:r w:rsidRPr="00641D44">
        <w:rPr>
          <w:rFonts w:ascii="Arial" w:hAnsi="Arial" w:cs="Arial"/>
          <w:sz w:val="22"/>
          <w:szCs w:val="22"/>
        </w:rPr>
        <w:t>5.</w:t>
      </w:r>
      <w:r w:rsidR="00DC7C22" w:rsidRPr="00641D44">
        <w:rPr>
          <w:rFonts w:ascii="Arial" w:hAnsi="Arial" w:cs="Arial"/>
          <w:sz w:val="22"/>
          <w:szCs w:val="22"/>
        </w:rPr>
        <w:t>10</w:t>
      </w:r>
      <w:r w:rsidRPr="00641D44">
        <w:rPr>
          <w:rFonts w:ascii="Arial" w:hAnsi="Arial" w:cs="Arial"/>
          <w:sz w:val="22"/>
          <w:szCs w:val="22"/>
        </w:rPr>
        <w:tab/>
      </w:r>
      <w:r w:rsidR="000B3B18" w:rsidRPr="00641D44">
        <w:rPr>
          <w:rFonts w:ascii="Arial" w:hAnsi="Arial" w:cs="Arial"/>
          <w:sz w:val="22"/>
          <w:szCs w:val="22"/>
        </w:rPr>
        <w:t>A</w:t>
      </w:r>
      <w:r w:rsidR="00CF4AFA" w:rsidRPr="00641D44">
        <w:rPr>
          <w:rFonts w:ascii="Arial" w:hAnsi="Arial" w:cs="Arial"/>
          <w:sz w:val="22"/>
          <w:szCs w:val="22"/>
        </w:rPr>
        <w:t xml:space="preserve">lthough </w:t>
      </w:r>
      <w:r w:rsidR="000B3B18" w:rsidRPr="00641D44">
        <w:rPr>
          <w:rFonts w:ascii="Arial" w:hAnsi="Arial" w:cs="Arial"/>
          <w:sz w:val="22"/>
          <w:szCs w:val="22"/>
        </w:rPr>
        <w:t xml:space="preserve">the decision was made to </w:t>
      </w:r>
      <w:r w:rsidR="00CF4AFA" w:rsidRPr="00641D44">
        <w:rPr>
          <w:rFonts w:ascii="Arial" w:hAnsi="Arial" w:cs="Arial"/>
          <w:sz w:val="22"/>
          <w:szCs w:val="22"/>
        </w:rPr>
        <w:t xml:space="preserve">remove the Area of Great Landscape Value </w:t>
      </w:r>
      <w:r w:rsidRPr="00641D44">
        <w:rPr>
          <w:rFonts w:ascii="Arial" w:hAnsi="Arial" w:cs="Arial"/>
          <w:sz w:val="22"/>
          <w:szCs w:val="22"/>
        </w:rPr>
        <w:t xml:space="preserve">(AGLV) </w:t>
      </w:r>
      <w:r w:rsidR="00CF4AFA" w:rsidRPr="00641D44">
        <w:rPr>
          <w:rFonts w:ascii="Arial" w:hAnsi="Arial" w:cs="Arial"/>
          <w:sz w:val="22"/>
          <w:szCs w:val="22"/>
        </w:rPr>
        <w:t>designation</w:t>
      </w:r>
      <w:r w:rsidRPr="00641D44">
        <w:rPr>
          <w:rFonts w:ascii="Arial" w:hAnsi="Arial" w:cs="Arial"/>
          <w:sz w:val="22"/>
          <w:szCs w:val="22"/>
        </w:rPr>
        <w:t xml:space="preserve"> in the Torbay Local Plan 2012-30</w:t>
      </w:r>
      <w:r w:rsidR="00CF4AFA" w:rsidRPr="00641D44">
        <w:rPr>
          <w:rFonts w:ascii="Arial" w:hAnsi="Arial" w:cs="Arial"/>
          <w:sz w:val="22"/>
          <w:szCs w:val="22"/>
        </w:rPr>
        <w:t>, this was a Bay</w:t>
      </w:r>
      <w:r w:rsidR="000B088A" w:rsidRPr="00641D44">
        <w:rPr>
          <w:rFonts w:ascii="Arial" w:hAnsi="Arial" w:cs="Arial"/>
          <w:sz w:val="22"/>
          <w:szCs w:val="22"/>
        </w:rPr>
        <w:t>-</w:t>
      </w:r>
      <w:r w:rsidR="00CF4AFA" w:rsidRPr="00641D44">
        <w:rPr>
          <w:rFonts w:ascii="Arial" w:hAnsi="Arial" w:cs="Arial"/>
          <w:sz w:val="22"/>
          <w:szCs w:val="22"/>
        </w:rPr>
        <w:t>wide policy change following government guidance which frowned on local landscape designations.</w:t>
      </w:r>
      <w:r w:rsidRPr="00641D44">
        <w:rPr>
          <w:rFonts w:ascii="Arial" w:hAnsi="Arial" w:cs="Arial"/>
          <w:sz w:val="22"/>
          <w:szCs w:val="22"/>
        </w:rPr>
        <w:t xml:space="preserve"> </w:t>
      </w:r>
      <w:r w:rsidR="00CF4AFA" w:rsidRPr="00641D44">
        <w:rPr>
          <w:rFonts w:ascii="Arial" w:hAnsi="Arial" w:cs="Arial"/>
          <w:sz w:val="22"/>
          <w:szCs w:val="22"/>
        </w:rPr>
        <w:t xml:space="preserve"> It had nothing to do with the site’s intrinsic qualities. Indeed Policy C1 of the Local Plan makes reference to the Landscape Character Assessment as a tool for considering proposals </w:t>
      </w:r>
      <w:r w:rsidR="000B088A" w:rsidRPr="00641D44">
        <w:rPr>
          <w:rFonts w:ascii="Arial" w:hAnsi="Arial" w:cs="Arial"/>
          <w:sz w:val="22"/>
          <w:szCs w:val="22"/>
        </w:rPr>
        <w:t xml:space="preserve">for development </w:t>
      </w:r>
      <w:r w:rsidR="00CF4AFA" w:rsidRPr="00641D44">
        <w:rPr>
          <w:rFonts w:ascii="Arial" w:hAnsi="Arial" w:cs="Arial"/>
          <w:sz w:val="22"/>
          <w:szCs w:val="22"/>
        </w:rPr>
        <w:t xml:space="preserve">outside of settlement boundaries. </w:t>
      </w:r>
    </w:p>
    <w:p w14:paraId="653894C2" w14:textId="77777777" w:rsidR="007853EE" w:rsidRPr="00641D44" w:rsidRDefault="007853EE" w:rsidP="0072052E">
      <w:pPr>
        <w:pStyle w:val="NormalWeb"/>
        <w:spacing w:before="0" w:beforeAutospacing="0" w:after="0" w:afterAutospacing="0" w:line="360" w:lineRule="auto"/>
        <w:rPr>
          <w:rFonts w:ascii="Arial" w:hAnsi="Arial" w:cs="Arial"/>
          <w:sz w:val="22"/>
          <w:szCs w:val="22"/>
        </w:rPr>
      </w:pPr>
    </w:p>
    <w:p w14:paraId="46AFCDD6" w14:textId="5DFA239E" w:rsidR="000B088A" w:rsidRPr="00641D44" w:rsidRDefault="00CF4AFA" w:rsidP="00BC2A45">
      <w:pPr>
        <w:pStyle w:val="NormalWeb"/>
        <w:spacing w:before="0" w:beforeAutospacing="0" w:after="0" w:afterAutospacing="0" w:line="360" w:lineRule="auto"/>
        <w:ind w:left="720" w:hanging="720"/>
        <w:jc w:val="both"/>
        <w:rPr>
          <w:rFonts w:ascii="Arial" w:hAnsi="Arial" w:cs="Arial"/>
          <w:color w:val="000000"/>
          <w:sz w:val="22"/>
          <w:szCs w:val="22"/>
        </w:rPr>
      </w:pPr>
      <w:r w:rsidRPr="00641D44">
        <w:rPr>
          <w:rFonts w:ascii="Arial" w:hAnsi="Arial" w:cs="Arial"/>
          <w:color w:val="000000"/>
          <w:sz w:val="22"/>
          <w:szCs w:val="22"/>
        </w:rPr>
        <w:t>5.1</w:t>
      </w:r>
      <w:r w:rsidR="00DC7C22" w:rsidRPr="00641D44">
        <w:rPr>
          <w:rFonts w:ascii="Arial" w:hAnsi="Arial" w:cs="Arial"/>
          <w:color w:val="000000"/>
          <w:sz w:val="22"/>
          <w:szCs w:val="22"/>
        </w:rPr>
        <w:t>1</w:t>
      </w:r>
      <w:r w:rsidRPr="00641D44">
        <w:rPr>
          <w:rFonts w:ascii="Arial" w:hAnsi="Arial" w:cs="Arial"/>
          <w:color w:val="000000"/>
          <w:sz w:val="22"/>
          <w:szCs w:val="22"/>
        </w:rPr>
        <w:tab/>
      </w:r>
      <w:r w:rsidR="008373B5" w:rsidRPr="00641D44">
        <w:rPr>
          <w:rFonts w:ascii="Arial" w:hAnsi="Arial" w:cs="Arial"/>
          <w:color w:val="000000"/>
          <w:sz w:val="22"/>
          <w:szCs w:val="22"/>
        </w:rPr>
        <w:t xml:space="preserve">The Strategic Housing Land Availability Assessment (Peter Brett Associates 2013 </w:t>
      </w:r>
      <w:r w:rsidR="00A51405" w:rsidRPr="00641D44">
        <w:rPr>
          <w:rFonts w:ascii="Arial" w:hAnsi="Arial" w:cs="Arial"/>
          <w:color w:val="000000"/>
          <w:sz w:val="22"/>
          <w:szCs w:val="22"/>
        </w:rPr>
        <w:t xml:space="preserve">site 756d </w:t>
      </w:r>
      <w:r w:rsidR="008373B5" w:rsidRPr="00641D44">
        <w:rPr>
          <w:rFonts w:ascii="Arial" w:hAnsi="Arial" w:cs="Arial"/>
          <w:color w:val="000000"/>
          <w:sz w:val="22"/>
          <w:szCs w:val="22"/>
        </w:rPr>
        <w:t xml:space="preserve">(CD </w:t>
      </w:r>
      <w:r w:rsidR="00302C46" w:rsidRPr="00641D44">
        <w:rPr>
          <w:rFonts w:ascii="Arial" w:hAnsi="Arial" w:cs="Arial"/>
          <w:color w:val="000000"/>
          <w:sz w:val="22"/>
          <w:szCs w:val="22"/>
        </w:rPr>
        <w:t>6</w:t>
      </w:r>
      <w:r w:rsidR="00D16ACD" w:rsidRPr="00641D44">
        <w:rPr>
          <w:rFonts w:ascii="Arial" w:hAnsi="Arial" w:cs="Arial"/>
          <w:color w:val="000000"/>
          <w:sz w:val="22"/>
          <w:szCs w:val="22"/>
        </w:rPr>
        <w:t>.43</w:t>
      </w:r>
      <w:r w:rsidR="008373B5" w:rsidRPr="00641D44">
        <w:rPr>
          <w:rFonts w:ascii="Arial" w:hAnsi="Arial" w:cs="Arial"/>
          <w:color w:val="000000"/>
          <w:sz w:val="22"/>
          <w:szCs w:val="22"/>
        </w:rPr>
        <w:t>)</w:t>
      </w:r>
      <w:r w:rsidR="00A51405" w:rsidRPr="00641D44">
        <w:rPr>
          <w:rFonts w:ascii="Arial" w:hAnsi="Arial" w:cs="Arial"/>
          <w:color w:val="000000"/>
          <w:sz w:val="22"/>
          <w:szCs w:val="22"/>
        </w:rPr>
        <w:t>) considered the site</w:t>
      </w:r>
      <w:r w:rsidR="008373B5" w:rsidRPr="00641D44">
        <w:rPr>
          <w:rFonts w:ascii="Arial" w:hAnsi="Arial" w:cs="Arial"/>
          <w:color w:val="000000"/>
          <w:sz w:val="22"/>
          <w:szCs w:val="22"/>
        </w:rPr>
        <w:t xml:space="preserve">.  The SHLAA </w:t>
      </w:r>
      <w:r w:rsidR="001D7602" w:rsidRPr="00641D44">
        <w:rPr>
          <w:rFonts w:ascii="Arial" w:hAnsi="Arial" w:cs="Arial"/>
          <w:color w:val="000000"/>
          <w:sz w:val="22"/>
          <w:szCs w:val="22"/>
        </w:rPr>
        <w:t>noted</w:t>
      </w:r>
      <w:r w:rsidR="008373B5" w:rsidRPr="00641D44">
        <w:rPr>
          <w:rFonts w:ascii="Arial" w:hAnsi="Arial" w:cs="Arial"/>
          <w:color w:val="000000"/>
          <w:sz w:val="22"/>
          <w:szCs w:val="22"/>
        </w:rPr>
        <w:t xml:space="preserve"> the site</w:t>
      </w:r>
      <w:r w:rsidR="000B088A" w:rsidRPr="00641D44">
        <w:rPr>
          <w:rFonts w:ascii="Arial" w:hAnsi="Arial" w:cs="Arial"/>
          <w:color w:val="000000"/>
          <w:sz w:val="22"/>
          <w:szCs w:val="22"/>
        </w:rPr>
        <w:t>’</w:t>
      </w:r>
      <w:r w:rsidR="008373B5" w:rsidRPr="00641D44">
        <w:rPr>
          <w:rFonts w:ascii="Arial" w:hAnsi="Arial" w:cs="Arial"/>
          <w:color w:val="000000"/>
          <w:sz w:val="22"/>
          <w:szCs w:val="22"/>
        </w:rPr>
        <w:t xml:space="preserve">s constraints including </w:t>
      </w:r>
      <w:r w:rsidR="008373B5" w:rsidRPr="00641D44">
        <w:rPr>
          <w:rFonts w:ascii="Arial" w:hAnsi="Arial" w:cs="Arial"/>
          <w:i/>
          <w:iCs/>
          <w:color w:val="000000"/>
          <w:sz w:val="22"/>
          <w:szCs w:val="22"/>
        </w:rPr>
        <w:t>“</w:t>
      </w:r>
      <w:r w:rsidR="001D7602" w:rsidRPr="00641D44">
        <w:rPr>
          <w:rFonts w:ascii="Arial" w:hAnsi="Arial" w:cs="Arial"/>
          <w:i/>
          <w:iCs/>
          <w:color w:val="000000"/>
          <w:sz w:val="22"/>
          <w:szCs w:val="22"/>
        </w:rPr>
        <w:t xml:space="preserve">that </w:t>
      </w:r>
      <w:r w:rsidRPr="00641D44">
        <w:rPr>
          <w:rFonts w:ascii="Arial" w:hAnsi="Arial" w:cs="Arial"/>
          <w:i/>
          <w:iCs/>
          <w:color w:val="000000"/>
          <w:sz w:val="22"/>
          <w:szCs w:val="22"/>
        </w:rPr>
        <w:t>a</w:t>
      </w:r>
      <w:r w:rsidR="001D7602" w:rsidRPr="00641D44">
        <w:rPr>
          <w:rFonts w:ascii="Arial" w:hAnsi="Arial" w:cs="Arial"/>
          <w:i/>
          <w:iCs/>
          <w:color w:val="000000"/>
          <w:sz w:val="22"/>
          <w:szCs w:val="22"/>
        </w:rPr>
        <w:t>ny future development will be limited by the lan</w:t>
      </w:r>
      <w:r w:rsidRPr="00641D44">
        <w:rPr>
          <w:rFonts w:ascii="Arial" w:hAnsi="Arial" w:cs="Arial"/>
          <w:i/>
          <w:iCs/>
          <w:color w:val="000000"/>
          <w:sz w:val="22"/>
          <w:szCs w:val="22"/>
        </w:rPr>
        <w:t>dscape impacts of the proposals</w:t>
      </w:r>
      <w:r w:rsidR="001D7602" w:rsidRPr="00641D44">
        <w:rPr>
          <w:rFonts w:ascii="Arial" w:hAnsi="Arial" w:cs="Arial"/>
          <w:i/>
          <w:iCs/>
          <w:color w:val="000000"/>
          <w:sz w:val="22"/>
          <w:szCs w:val="22"/>
        </w:rPr>
        <w:t>, as the AONB lies to the West</w:t>
      </w:r>
      <w:r w:rsidR="001D7602" w:rsidRPr="00641D44">
        <w:rPr>
          <w:rFonts w:ascii="Arial" w:hAnsi="Arial" w:cs="Arial"/>
          <w:color w:val="000000"/>
          <w:sz w:val="22"/>
          <w:szCs w:val="22"/>
        </w:rPr>
        <w:t>” but concluded that “</w:t>
      </w:r>
      <w:r w:rsidR="001D7602" w:rsidRPr="00641D44">
        <w:rPr>
          <w:rFonts w:ascii="Arial" w:hAnsi="Arial" w:cs="Arial"/>
          <w:i/>
          <w:iCs/>
          <w:color w:val="000000"/>
          <w:sz w:val="22"/>
          <w:szCs w:val="22"/>
        </w:rPr>
        <w:t>a limited development may be applicable</w:t>
      </w:r>
      <w:r w:rsidR="001D7602" w:rsidRPr="00641D44">
        <w:rPr>
          <w:rFonts w:ascii="Arial" w:hAnsi="Arial" w:cs="Arial"/>
          <w:color w:val="000000"/>
          <w:sz w:val="22"/>
          <w:szCs w:val="22"/>
        </w:rPr>
        <w:t>” with an indicative assessme</w:t>
      </w:r>
      <w:r w:rsidRPr="00641D44">
        <w:rPr>
          <w:rFonts w:ascii="Arial" w:hAnsi="Arial" w:cs="Arial"/>
          <w:color w:val="000000"/>
          <w:sz w:val="22"/>
          <w:szCs w:val="22"/>
        </w:rPr>
        <w:t xml:space="preserve">nt of 250 dwellings post 2023. </w:t>
      </w:r>
      <w:r w:rsidR="001D7602" w:rsidRPr="00641D44">
        <w:rPr>
          <w:rFonts w:ascii="Arial" w:hAnsi="Arial" w:cs="Arial"/>
          <w:color w:val="000000"/>
          <w:sz w:val="22"/>
          <w:szCs w:val="22"/>
        </w:rPr>
        <w:t xml:space="preserve"> I project managed this SHLAA, although I did not influence the judgements made by PBA’s planners</w:t>
      </w:r>
      <w:r w:rsidRPr="00641D44">
        <w:rPr>
          <w:rFonts w:ascii="Arial" w:hAnsi="Arial" w:cs="Arial"/>
          <w:color w:val="000000"/>
          <w:sz w:val="22"/>
          <w:szCs w:val="22"/>
        </w:rPr>
        <w:t xml:space="preserve"> as it was intended to be an independent assessment, and did not represent </w:t>
      </w:r>
      <w:r w:rsidR="000B088A" w:rsidRPr="00641D44">
        <w:rPr>
          <w:rFonts w:ascii="Arial" w:hAnsi="Arial" w:cs="Arial"/>
          <w:color w:val="000000"/>
          <w:sz w:val="22"/>
          <w:szCs w:val="22"/>
        </w:rPr>
        <w:t>C</w:t>
      </w:r>
      <w:r w:rsidRPr="00641D44">
        <w:rPr>
          <w:rFonts w:ascii="Arial" w:hAnsi="Arial" w:cs="Arial"/>
          <w:color w:val="000000"/>
          <w:sz w:val="22"/>
          <w:szCs w:val="22"/>
        </w:rPr>
        <w:t xml:space="preserve">ouncil policy.   </w:t>
      </w:r>
      <w:r w:rsidR="001D7602" w:rsidRPr="00641D44">
        <w:rPr>
          <w:rFonts w:ascii="Arial" w:hAnsi="Arial" w:cs="Arial"/>
          <w:color w:val="000000"/>
          <w:sz w:val="22"/>
          <w:szCs w:val="22"/>
        </w:rPr>
        <w:t xml:space="preserve">To the best of my knowledge </w:t>
      </w:r>
      <w:r w:rsidRPr="00641D44">
        <w:rPr>
          <w:rFonts w:ascii="Arial" w:hAnsi="Arial" w:cs="Arial"/>
          <w:color w:val="000000"/>
          <w:sz w:val="22"/>
          <w:szCs w:val="22"/>
        </w:rPr>
        <w:t>PBA’s team</w:t>
      </w:r>
      <w:r w:rsidR="001D7602" w:rsidRPr="00641D44">
        <w:rPr>
          <w:rFonts w:ascii="Arial" w:hAnsi="Arial" w:cs="Arial"/>
          <w:color w:val="000000"/>
          <w:sz w:val="22"/>
          <w:szCs w:val="22"/>
        </w:rPr>
        <w:t xml:space="preserve"> did not assess the site from the AONB vantage points. </w:t>
      </w:r>
      <w:r w:rsidR="00A51405" w:rsidRPr="00641D44">
        <w:rPr>
          <w:rFonts w:ascii="Arial" w:hAnsi="Arial" w:cs="Arial"/>
          <w:color w:val="000000"/>
          <w:sz w:val="22"/>
          <w:szCs w:val="22"/>
        </w:rPr>
        <w:t xml:space="preserve"> </w:t>
      </w:r>
      <w:r w:rsidR="001D7602" w:rsidRPr="00641D44">
        <w:rPr>
          <w:rFonts w:ascii="Arial" w:hAnsi="Arial" w:cs="Arial"/>
          <w:color w:val="000000"/>
          <w:sz w:val="22"/>
          <w:szCs w:val="22"/>
        </w:rPr>
        <w:t xml:space="preserve">Nor would such a detailed </w:t>
      </w:r>
      <w:r w:rsidR="00A51405" w:rsidRPr="00641D44">
        <w:rPr>
          <w:rFonts w:ascii="Arial" w:hAnsi="Arial" w:cs="Arial"/>
          <w:color w:val="000000"/>
          <w:sz w:val="22"/>
          <w:szCs w:val="22"/>
        </w:rPr>
        <w:t xml:space="preserve">project-level </w:t>
      </w:r>
      <w:r w:rsidR="001D7602" w:rsidRPr="00641D44">
        <w:rPr>
          <w:rFonts w:ascii="Arial" w:hAnsi="Arial" w:cs="Arial"/>
          <w:color w:val="000000"/>
          <w:sz w:val="22"/>
          <w:szCs w:val="22"/>
        </w:rPr>
        <w:t>site assessment</w:t>
      </w:r>
      <w:r w:rsidR="00BC2A45" w:rsidRPr="00641D44">
        <w:rPr>
          <w:rFonts w:ascii="Arial" w:hAnsi="Arial" w:cs="Arial"/>
          <w:color w:val="000000"/>
          <w:sz w:val="22"/>
          <w:szCs w:val="22"/>
        </w:rPr>
        <w:t>, from relatively distant vantage points</w:t>
      </w:r>
      <w:r w:rsidR="00A51405" w:rsidRPr="00641D44">
        <w:rPr>
          <w:rFonts w:ascii="Arial" w:hAnsi="Arial" w:cs="Arial"/>
          <w:color w:val="000000"/>
          <w:sz w:val="22"/>
          <w:szCs w:val="22"/>
        </w:rPr>
        <w:t>,</w:t>
      </w:r>
      <w:r w:rsidR="00BC2A45" w:rsidRPr="00641D44">
        <w:rPr>
          <w:rFonts w:ascii="Arial" w:hAnsi="Arial" w:cs="Arial"/>
          <w:color w:val="000000"/>
          <w:sz w:val="22"/>
          <w:szCs w:val="22"/>
        </w:rPr>
        <w:t xml:space="preserve"> have</w:t>
      </w:r>
      <w:r w:rsidR="001D7602" w:rsidRPr="00641D44">
        <w:rPr>
          <w:rFonts w:ascii="Arial" w:hAnsi="Arial" w:cs="Arial"/>
          <w:color w:val="000000"/>
          <w:sz w:val="22"/>
          <w:szCs w:val="22"/>
        </w:rPr>
        <w:t xml:space="preserve"> been </w:t>
      </w:r>
      <w:r w:rsidR="00BC2A45" w:rsidRPr="00641D44">
        <w:rPr>
          <w:rFonts w:ascii="Arial" w:hAnsi="Arial" w:cs="Arial"/>
          <w:color w:val="000000"/>
          <w:sz w:val="22"/>
          <w:szCs w:val="22"/>
        </w:rPr>
        <w:t xml:space="preserve">expected </w:t>
      </w:r>
      <w:r w:rsidR="001D7602" w:rsidRPr="00641D44">
        <w:rPr>
          <w:rFonts w:ascii="Arial" w:hAnsi="Arial" w:cs="Arial"/>
          <w:color w:val="000000"/>
          <w:sz w:val="22"/>
          <w:szCs w:val="22"/>
        </w:rPr>
        <w:t xml:space="preserve">as part of an </w:t>
      </w:r>
      <w:r w:rsidR="00A51405" w:rsidRPr="00641D44">
        <w:rPr>
          <w:rFonts w:ascii="Arial" w:hAnsi="Arial" w:cs="Arial"/>
          <w:color w:val="000000"/>
          <w:sz w:val="22"/>
          <w:szCs w:val="22"/>
        </w:rPr>
        <w:t>a</w:t>
      </w:r>
      <w:r w:rsidR="001D7602" w:rsidRPr="00641D44">
        <w:rPr>
          <w:rFonts w:ascii="Arial" w:hAnsi="Arial" w:cs="Arial"/>
          <w:color w:val="000000"/>
          <w:sz w:val="22"/>
          <w:szCs w:val="22"/>
        </w:rPr>
        <w:t>uthority</w:t>
      </w:r>
      <w:r w:rsidR="000B088A" w:rsidRPr="00641D44">
        <w:rPr>
          <w:rFonts w:ascii="Arial" w:hAnsi="Arial" w:cs="Arial"/>
          <w:color w:val="000000"/>
          <w:sz w:val="22"/>
          <w:szCs w:val="22"/>
        </w:rPr>
        <w:t>-</w:t>
      </w:r>
      <w:r w:rsidR="001D7602" w:rsidRPr="00641D44">
        <w:rPr>
          <w:rFonts w:ascii="Arial" w:hAnsi="Arial" w:cs="Arial"/>
          <w:color w:val="000000"/>
          <w:sz w:val="22"/>
          <w:szCs w:val="22"/>
        </w:rPr>
        <w:t xml:space="preserve">wide SHLAA. </w:t>
      </w:r>
    </w:p>
    <w:p w14:paraId="61787224" w14:textId="77777777" w:rsidR="00B26FF9" w:rsidRPr="00641D44" w:rsidRDefault="00B26FF9" w:rsidP="00BC2A45">
      <w:pPr>
        <w:pStyle w:val="NormalWeb"/>
        <w:spacing w:before="0" w:beforeAutospacing="0" w:after="0" w:afterAutospacing="0" w:line="360" w:lineRule="auto"/>
        <w:ind w:left="720" w:hanging="720"/>
        <w:jc w:val="both"/>
      </w:pPr>
    </w:p>
    <w:p w14:paraId="64BFC264" w14:textId="75B2BB0E" w:rsidR="00FB4180" w:rsidRPr="00641D44" w:rsidRDefault="00CF4AFA" w:rsidP="00BC2A45">
      <w:pPr>
        <w:pStyle w:val="NormalWeb"/>
        <w:spacing w:before="0" w:beforeAutospacing="0" w:after="0" w:afterAutospacing="0" w:line="360" w:lineRule="auto"/>
        <w:ind w:left="720" w:hanging="720"/>
        <w:jc w:val="both"/>
        <w:rPr>
          <w:rFonts w:ascii="Arial" w:hAnsi="Arial" w:cs="Arial"/>
          <w:color w:val="000000"/>
          <w:sz w:val="22"/>
          <w:szCs w:val="22"/>
        </w:rPr>
      </w:pPr>
      <w:r w:rsidRPr="00641D44">
        <w:rPr>
          <w:rFonts w:ascii="Arial" w:hAnsi="Arial" w:cs="Arial"/>
          <w:color w:val="000000"/>
          <w:sz w:val="22"/>
          <w:szCs w:val="22"/>
        </w:rPr>
        <w:t>5.1</w:t>
      </w:r>
      <w:r w:rsidR="00DC7C22" w:rsidRPr="00641D44">
        <w:rPr>
          <w:rFonts w:ascii="Arial" w:hAnsi="Arial" w:cs="Arial"/>
          <w:color w:val="000000"/>
          <w:sz w:val="22"/>
          <w:szCs w:val="22"/>
        </w:rPr>
        <w:t>2</w:t>
      </w:r>
      <w:r w:rsidRPr="00641D44">
        <w:rPr>
          <w:rFonts w:ascii="Arial" w:hAnsi="Arial" w:cs="Arial"/>
          <w:color w:val="000000"/>
          <w:sz w:val="22"/>
          <w:szCs w:val="22"/>
        </w:rPr>
        <w:tab/>
      </w:r>
      <w:r w:rsidR="00FB4180" w:rsidRPr="00641D44">
        <w:rPr>
          <w:rFonts w:ascii="Arial" w:hAnsi="Arial" w:cs="Arial"/>
          <w:color w:val="000000"/>
          <w:sz w:val="22"/>
          <w:szCs w:val="22"/>
        </w:rPr>
        <w:t xml:space="preserve">The site was not included in the Draft (2012) or Submission (2013) versions of the emerging Local Plan 2012-30, as it was considered that less sensitive options were </w:t>
      </w:r>
      <w:r w:rsidR="00FB4180" w:rsidRPr="00641D44">
        <w:rPr>
          <w:rFonts w:ascii="Arial" w:hAnsi="Arial" w:cs="Arial"/>
          <w:color w:val="000000"/>
          <w:sz w:val="22"/>
          <w:szCs w:val="22"/>
        </w:rPr>
        <w:lastRenderedPageBreak/>
        <w:t xml:space="preserve">available. </w:t>
      </w:r>
      <w:r w:rsidRPr="00641D44">
        <w:rPr>
          <w:rFonts w:ascii="Arial" w:hAnsi="Arial" w:cs="Arial"/>
          <w:color w:val="000000"/>
          <w:sz w:val="22"/>
          <w:szCs w:val="22"/>
        </w:rPr>
        <w:t xml:space="preserve"> </w:t>
      </w:r>
      <w:r w:rsidR="00FB4180" w:rsidRPr="00641D44">
        <w:rPr>
          <w:rFonts w:ascii="Arial" w:hAnsi="Arial" w:cs="Arial"/>
          <w:color w:val="000000"/>
          <w:sz w:val="22"/>
          <w:szCs w:val="22"/>
        </w:rPr>
        <w:t>However, the Local Plan Inspector</w:t>
      </w:r>
      <w:r w:rsidR="00276368" w:rsidRPr="00641D44">
        <w:rPr>
          <w:rFonts w:ascii="Arial" w:hAnsi="Arial" w:cs="Arial"/>
          <w:color w:val="000000"/>
          <w:sz w:val="22"/>
          <w:szCs w:val="22"/>
        </w:rPr>
        <w:t>, Mr Keith Holland,</w:t>
      </w:r>
      <w:r w:rsidR="00FB4180" w:rsidRPr="00641D44">
        <w:rPr>
          <w:rFonts w:ascii="Arial" w:hAnsi="Arial" w:cs="Arial"/>
          <w:color w:val="000000"/>
          <w:sz w:val="22"/>
          <w:szCs w:val="22"/>
        </w:rPr>
        <w:t xml:space="preserve"> advised that the submitted plan did not meet its full objectively assessed need (as assessed in the 2013 Housing Requirements Report). </w:t>
      </w:r>
      <w:r w:rsidRPr="00641D44">
        <w:rPr>
          <w:rFonts w:ascii="Arial" w:hAnsi="Arial" w:cs="Arial"/>
          <w:color w:val="000000"/>
          <w:sz w:val="22"/>
          <w:szCs w:val="22"/>
        </w:rPr>
        <w:t xml:space="preserve"> </w:t>
      </w:r>
      <w:r w:rsidR="00FB4180" w:rsidRPr="00641D44">
        <w:rPr>
          <w:rFonts w:ascii="Arial" w:hAnsi="Arial" w:cs="Arial"/>
          <w:color w:val="000000"/>
          <w:sz w:val="22"/>
          <w:szCs w:val="22"/>
        </w:rPr>
        <w:t xml:space="preserve">Accordingly, </w:t>
      </w:r>
      <w:r w:rsidR="00A51405" w:rsidRPr="00641D44">
        <w:rPr>
          <w:rFonts w:ascii="Arial" w:hAnsi="Arial" w:cs="Arial"/>
          <w:color w:val="000000"/>
          <w:sz w:val="22"/>
          <w:szCs w:val="22"/>
        </w:rPr>
        <w:t>c</w:t>
      </w:r>
      <w:r w:rsidR="00FB4180" w:rsidRPr="00641D44">
        <w:rPr>
          <w:rFonts w:ascii="Arial" w:hAnsi="Arial" w:cs="Arial"/>
          <w:color w:val="000000"/>
          <w:sz w:val="22"/>
          <w:szCs w:val="22"/>
        </w:rPr>
        <w:t xml:space="preserve">ouncil officers carried out an assessment of the rejected sites in late 2014 as part of the Local </w:t>
      </w:r>
      <w:r w:rsidRPr="00641D44">
        <w:rPr>
          <w:rFonts w:ascii="Arial" w:hAnsi="Arial" w:cs="Arial"/>
          <w:color w:val="000000"/>
          <w:sz w:val="22"/>
          <w:szCs w:val="22"/>
        </w:rPr>
        <w:t>P</w:t>
      </w:r>
      <w:r w:rsidR="00FB4180" w:rsidRPr="00641D44">
        <w:rPr>
          <w:rFonts w:ascii="Arial" w:hAnsi="Arial" w:cs="Arial"/>
          <w:color w:val="000000"/>
          <w:sz w:val="22"/>
          <w:szCs w:val="22"/>
        </w:rPr>
        <w:t xml:space="preserve">lan Examination. </w:t>
      </w:r>
      <w:r w:rsidR="00B26FF9" w:rsidRPr="00641D44">
        <w:rPr>
          <w:rFonts w:ascii="Arial" w:hAnsi="Arial" w:cs="Arial"/>
          <w:color w:val="000000"/>
          <w:sz w:val="22"/>
          <w:szCs w:val="22"/>
        </w:rPr>
        <w:t xml:space="preserve">A slightly larger site than the </w:t>
      </w:r>
      <w:r w:rsidRPr="00641D44">
        <w:rPr>
          <w:rFonts w:ascii="Arial" w:hAnsi="Arial" w:cs="Arial"/>
          <w:color w:val="000000"/>
          <w:sz w:val="22"/>
          <w:szCs w:val="22"/>
        </w:rPr>
        <w:t xml:space="preserve">current </w:t>
      </w:r>
      <w:r w:rsidR="00B26FF9" w:rsidRPr="00641D44">
        <w:rPr>
          <w:rFonts w:ascii="Arial" w:hAnsi="Arial" w:cs="Arial"/>
          <w:color w:val="000000"/>
          <w:sz w:val="22"/>
          <w:szCs w:val="22"/>
        </w:rPr>
        <w:t>appeal site was included as a Main Modification to the Plan (2014/15) for between 250-460 dwellings</w:t>
      </w:r>
      <w:r w:rsidR="00BC2A45" w:rsidRPr="00641D44">
        <w:rPr>
          <w:rFonts w:ascii="Arial" w:hAnsi="Arial" w:cs="Arial"/>
          <w:color w:val="000000"/>
          <w:sz w:val="22"/>
          <w:szCs w:val="22"/>
        </w:rPr>
        <w:t>, based on a proposed plan submitted by Abacus/Deeley Freed</w:t>
      </w:r>
      <w:r w:rsidR="00F335A9" w:rsidRPr="00641D44">
        <w:rPr>
          <w:rFonts w:ascii="Arial" w:hAnsi="Arial" w:cs="Arial"/>
          <w:color w:val="000000"/>
          <w:sz w:val="22"/>
          <w:szCs w:val="22"/>
        </w:rPr>
        <w:t xml:space="preserve">.  </w:t>
      </w:r>
      <w:r w:rsidR="00B26FF9" w:rsidRPr="00641D44">
        <w:rPr>
          <w:rFonts w:ascii="Arial" w:hAnsi="Arial" w:cs="Arial"/>
          <w:color w:val="000000"/>
          <w:sz w:val="22"/>
          <w:szCs w:val="22"/>
        </w:rPr>
        <w:t xml:space="preserve">However </w:t>
      </w:r>
      <w:r w:rsidR="00BC2A45" w:rsidRPr="00641D44">
        <w:rPr>
          <w:rFonts w:ascii="Arial" w:hAnsi="Arial" w:cs="Arial"/>
          <w:color w:val="000000"/>
          <w:sz w:val="22"/>
          <w:szCs w:val="22"/>
        </w:rPr>
        <w:t xml:space="preserve">the site </w:t>
      </w:r>
      <w:r w:rsidR="00B26FF9" w:rsidRPr="00641D44">
        <w:rPr>
          <w:rFonts w:ascii="Arial" w:hAnsi="Arial" w:cs="Arial"/>
          <w:color w:val="000000"/>
          <w:sz w:val="22"/>
          <w:szCs w:val="22"/>
        </w:rPr>
        <w:t xml:space="preserve">had to be removed primarily because of the insufficient survey evidence in terms of in combination effects under the Habitats Regulations, as well as lack of detailed evidence on the landscape and agricultural land impacts.  11 objections to the inclusion of the site as a Modification were received from organisations including Natural England and </w:t>
      </w:r>
      <w:r w:rsidR="000B088A" w:rsidRPr="00641D44">
        <w:rPr>
          <w:rFonts w:ascii="Arial" w:hAnsi="Arial" w:cs="Arial"/>
          <w:color w:val="000000"/>
          <w:sz w:val="22"/>
          <w:szCs w:val="22"/>
        </w:rPr>
        <w:t xml:space="preserve">there were </w:t>
      </w:r>
      <w:r w:rsidR="00B26FF9" w:rsidRPr="00641D44">
        <w:rPr>
          <w:rFonts w:ascii="Arial" w:hAnsi="Arial" w:cs="Arial"/>
          <w:color w:val="000000"/>
          <w:sz w:val="22"/>
          <w:szCs w:val="22"/>
        </w:rPr>
        <w:t>91 objections from individuals.</w:t>
      </w:r>
    </w:p>
    <w:p w14:paraId="2B916513" w14:textId="77777777" w:rsidR="00276368" w:rsidRPr="00641D44" w:rsidRDefault="00276368" w:rsidP="0072052E">
      <w:pPr>
        <w:spacing w:line="360" w:lineRule="auto"/>
        <w:jc w:val="both"/>
        <w:rPr>
          <w:rFonts w:ascii="Arial" w:eastAsia="Calibri" w:hAnsi="Arial" w:cs="Arial"/>
        </w:rPr>
      </w:pPr>
    </w:p>
    <w:p w14:paraId="03DF4F37" w14:textId="0BE7FC16" w:rsidR="00FB4180" w:rsidRPr="00641D44" w:rsidRDefault="00CF4AFA" w:rsidP="00CF4AFA">
      <w:pPr>
        <w:spacing w:line="360" w:lineRule="auto"/>
        <w:ind w:left="720" w:hanging="720"/>
        <w:jc w:val="both"/>
        <w:rPr>
          <w:rFonts w:ascii="Arial" w:eastAsia="Calibri" w:hAnsi="Arial" w:cs="Arial"/>
        </w:rPr>
      </w:pPr>
      <w:r w:rsidRPr="00641D44">
        <w:rPr>
          <w:rFonts w:ascii="Arial" w:eastAsia="Calibri" w:hAnsi="Arial" w:cs="Arial"/>
        </w:rPr>
        <w:t>5.1</w:t>
      </w:r>
      <w:r w:rsidR="00DC7C22" w:rsidRPr="00641D44">
        <w:rPr>
          <w:rFonts w:ascii="Arial" w:eastAsia="Calibri" w:hAnsi="Arial" w:cs="Arial"/>
        </w:rPr>
        <w:t>3</w:t>
      </w:r>
      <w:r w:rsidRPr="00641D44">
        <w:rPr>
          <w:rFonts w:ascii="Arial" w:eastAsia="Calibri" w:hAnsi="Arial" w:cs="Arial"/>
        </w:rPr>
        <w:tab/>
      </w:r>
      <w:r w:rsidR="00FB4180" w:rsidRPr="00641D44">
        <w:rPr>
          <w:rFonts w:ascii="Arial" w:eastAsia="Calibri" w:hAnsi="Arial" w:cs="Arial"/>
        </w:rPr>
        <w:t>The Inspector’s Final Report was received on 12 October 2015.</w:t>
      </w:r>
      <w:r w:rsidR="00656298" w:rsidRPr="00641D44">
        <w:rPr>
          <w:rFonts w:ascii="Arial" w:eastAsia="Calibri" w:hAnsi="Arial" w:cs="Arial"/>
        </w:rPr>
        <w:t xml:space="preserve"> (CD</w:t>
      </w:r>
      <w:r w:rsidR="00302C46" w:rsidRPr="00641D44">
        <w:rPr>
          <w:rFonts w:ascii="Arial" w:eastAsia="Calibri" w:hAnsi="Arial" w:cs="Arial"/>
        </w:rPr>
        <w:t>7.3c</w:t>
      </w:r>
      <w:r w:rsidR="00656298" w:rsidRPr="00641D44">
        <w:rPr>
          <w:rFonts w:ascii="Arial" w:eastAsia="Calibri" w:hAnsi="Arial" w:cs="Arial"/>
        </w:rPr>
        <w:t>). His consideration of land south of White Rock is contained in paragraphs 58-62 of the R</w:t>
      </w:r>
      <w:r w:rsidRPr="00641D44">
        <w:rPr>
          <w:rFonts w:ascii="Arial" w:eastAsia="Calibri" w:hAnsi="Arial" w:cs="Arial"/>
        </w:rPr>
        <w:t>eport</w:t>
      </w:r>
      <w:r w:rsidR="00276368" w:rsidRPr="00641D44">
        <w:rPr>
          <w:rFonts w:ascii="Arial" w:eastAsia="Calibri" w:hAnsi="Arial" w:cs="Arial"/>
        </w:rPr>
        <w:t xml:space="preserve">: </w:t>
      </w:r>
    </w:p>
    <w:p w14:paraId="28EEA522" w14:textId="77777777" w:rsidR="00FB4180" w:rsidRPr="00641D44" w:rsidRDefault="00FB4180" w:rsidP="0072052E">
      <w:pPr>
        <w:widowControl w:val="0"/>
        <w:numPr>
          <w:ilvl w:val="0"/>
          <w:numId w:val="32"/>
        </w:numPr>
        <w:tabs>
          <w:tab w:val="num" w:pos="510"/>
          <w:tab w:val="num" w:pos="1418"/>
        </w:tabs>
        <w:spacing w:after="240" w:line="360" w:lineRule="auto"/>
        <w:ind w:left="1134" w:firstLine="0"/>
        <w:rPr>
          <w:rFonts w:ascii="Arial" w:eastAsia="MS Mincho" w:hAnsi="Arial" w:cs="Arial"/>
          <w:bCs/>
          <w:i/>
          <w:lang w:eastAsia="en-GB"/>
        </w:rPr>
      </w:pPr>
      <w:r w:rsidRPr="00641D44">
        <w:rPr>
          <w:rFonts w:ascii="Arial" w:eastAsia="MS Mincho" w:hAnsi="Arial" w:cs="Arial"/>
          <w:bCs/>
          <w:i/>
          <w:lang w:eastAsia="en-GB"/>
        </w:rPr>
        <w:t xml:space="preserve">The strong local opposition to development on White Rock 2 is understood.  However in the context of the need to find additional housing land as a consequence of the Initial Findings, subject to environmental safeguards this land was regarded at the MM stage by the Council as one of the best alternative green field locations for sustainable growth in Torbay.  There are very limited options for strategic housing growth sites in Torbay and having regard to its relationship to existing development and the White Rock 1 site, it is considered that the Council has good reasons to regard the site as potentially offering an opportunity for strategic development. </w:t>
      </w:r>
    </w:p>
    <w:p w14:paraId="6641CD03" w14:textId="737D5ACE" w:rsidR="00276368" w:rsidRPr="00641D44" w:rsidRDefault="00CF4AFA" w:rsidP="00CD2CD1">
      <w:pPr>
        <w:spacing w:before="100" w:beforeAutospacing="1" w:after="100" w:afterAutospacing="1" w:line="360" w:lineRule="auto"/>
        <w:ind w:left="720" w:hanging="720"/>
        <w:jc w:val="both"/>
        <w:rPr>
          <w:rFonts w:ascii="Arial" w:eastAsia="Times New Roman" w:hAnsi="Arial" w:cs="Arial"/>
          <w:color w:val="000000"/>
          <w:lang w:eastAsia="en-GB"/>
        </w:rPr>
      </w:pPr>
      <w:r w:rsidRPr="00641D44">
        <w:rPr>
          <w:rFonts w:ascii="Arial" w:eastAsia="Times New Roman" w:hAnsi="Arial" w:cs="Arial"/>
          <w:color w:val="000000"/>
          <w:lang w:eastAsia="en-GB"/>
        </w:rPr>
        <w:t>5.1</w:t>
      </w:r>
      <w:r w:rsidR="00DC7C22" w:rsidRPr="00641D44">
        <w:rPr>
          <w:rFonts w:ascii="Arial" w:eastAsia="Times New Roman" w:hAnsi="Arial" w:cs="Arial"/>
          <w:color w:val="000000"/>
          <w:lang w:eastAsia="en-GB"/>
        </w:rPr>
        <w:t>4</w:t>
      </w:r>
      <w:r w:rsidRPr="00641D44">
        <w:rPr>
          <w:rFonts w:ascii="Arial" w:eastAsia="Times New Roman" w:hAnsi="Arial" w:cs="Arial"/>
          <w:color w:val="000000"/>
          <w:lang w:eastAsia="en-GB"/>
        </w:rPr>
        <w:tab/>
      </w:r>
      <w:r w:rsidR="00FB4180" w:rsidRPr="00641D44">
        <w:rPr>
          <w:rFonts w:ascii="Arial" w:eastAsia="Times New Roman" w:hAnsi="Arial" w:cs="Arial"/>
          <w:color w:val="000000"/>
          <w:lang w:eastAsia="en-GB"/>
        </w:rPr>
        <w:t xml:space="preserve">Whilst the Inspector did not offer a final view of the Inglewood Site, a reasonable interpretation of his report is that he considered that an early review of the Plan had a fair chance of being found sound with the site included.  </w:t>
      </w:r>
      <w:r w:rsidRPr="00641D44">
        <w:rPr>
          <w:rFonts w:ascii="Arial" w:eastAsia="Times New Roman" w:hAnsi="Arial" w:cs="Arial"/>
          <w:color w:val="000000"/>
          <w:lang w:eastAsia="en-GB"/>
        </w:rPr>
        <w:t xml:space="preserve">To the best of my knowledge, the Inspector’s site visits </w:t>
      </w:r>
      <w:r w:rsidR="005635A2" w:rsidRPr="00641D44">
        <w:rPr>
          <w:rFonts w:ascii="Arial" w:eastAsia="Times New Roman" w:hAnsi="Arial" w:cs="Arial"/>
          <w:color w:val="000000"/>
          <w:lang w:eastAsia="en-GB"/>
        </w:rPr>
        <w:t xml:space="preserve">did not inspect the site from the high vantage points around Dittisham, given their remoteness. </w:t>
      </w:r>
    </w:p>
    <w:p w14:paraId="0562C6C2" w14:textId="59020051" w:rsidR="00276368" w:rsidRPr="00641D44" w:rsidRDefault="005635A2" w:rsidP="00CD2CD1">
      <w:pPr>
        <w:spacing w:before="100" w:beforeAutospacing="1" w:after="100" w:afterAutospacing="1" w:line="360" w:lineRule="auto"/>
        <w:ind w:left="720" w:hanging="720"/>
        <w:jc w:val="both"/>
        <w:rPr>
          <w:rFonts w:ascii="Arial" w:eastAsia="Times New Roman" w:hAnsi="Arial" w:cs="Arial"/>
          <w:color w:val="000000"/>
          <w:lang w:eastAsia="en-GB"/>
        </w:rPr>
      </w:pPr>
      <w:r w:rsidRPr="00641D44">
        <w:rPr>
          <w:rFonts w:ascii="Arial" w:eastAsia="Times New Roman" w:hAnsi="Arial" w:cs="Arial"/>
          <w:color w:val="000000"/>
          <w:lang w:eastAsia="en-GB"/>
        </w:rPr>
        <w:t>5.1</w:t>
      </w:r>
      <w:r w:rsidR="00DC7C22" w:rsidRPr="00641D44">
        <w:rPr>
          <w:rFonts w:ascii="Arial" w:eastAsia="Times New Roman" w:hAnsi="Arial" w:cs="Arial"/>
          <w:color w:val="000000"/>
          <w:lang w:eastAsia="en-GB"/>
        </w:rPr>
        <w:t>5</w:t>
      </w:r>
      <w:r w:rsidRPr="00641D44">
        <w:rPr>
          <w:rFonts w:ascii="Arial" w:eastAsia="Times New Roman" w:hAnsi="Arial" w:cs="Arial"/>
          <w:color w:val="000000"/>
          <w:lang w:eastAsia="en-GB"/>
        </w:rPr>
        <w:tab/>
      </w:r>
      <w:r w:rsidR="00F335A9" w:rsidRPr="00641D44">
        <w:rPr>
          <w:rFonts w:ascii="Arial" w:eastAsia="Times New Roman" w:hAnsi="Arial" w:cs="Arial"/>
          <w:color w:val="000000"/>
          <w:lang w:eastAsia="en-GB"/>
        </w:rPr>
        <w:t xml:space="preserve">Had </w:t>
      </w:r>
      <w:r w:rsidR="00276368" w:rsidRPr="00641D44">
        <w:rPr>
          <w:rFonts w:ascii="Arial" w:eastAsia="Times New Roman" w:hAnsi="Arial" w:cs="Arial"/>
          <w:color w:val="000000"/>
          <w:lang w:eastAsia="en-GB"/>
        </w:rPr>
        <w:t xml:space="preserve">the Modification to include White Rock 2 </w:t>
      </w:r>
      <w:r w:rsidR="00F335A9" w:rsidRPr="00641D44">
        <w:rPr>
          <w:rFonts w:ascii="Arial" w:eastAsia="Times New Roman" w:hAnsi="Arial" w:cs="Arial"/>
          <w:color w:val="000000"/>
          <w:lang w:eastAsia="en-GB"/>
        </w:rPr>
        <w:t xml:space="preserve">been </w:t>
      </w:r>
      <w:r w:rsidR="00276368" w:rsidRPr="00641D44">
        <w:rPr>
          <w:rFonts w:ascii="Arial" w:eastAsia="Times New Roman" w:hAnsi="Arial" w:cs="Arial"/>
          <w:color w:val="000000"/>
          <w:lang w:eastAsia="en-GB"/>
        </w:rPr>
        <w:t>persisted with, it would have certainly required greater scrutiny of landscape impacts through a detailed LVIA</w:t>
      </w:r>
      <w:r w:rsidR="00F335A9" w:rsidRPr="00641D44">
        <w:rPr>
          <w:rFonts w:ascii="Arial" w:eastAsia="Times New Roman" w:hAnsi="Arial" w:cs="Arial"/>
          <w:color w:val="000000"/>
          <w:lang w:eastAsia="en-GB"/>
        </w:rPr>
        <w:t>,</w:t>
      </w:r>
      <w:r w:rsidR="00276368" w:rsidRPr="00641D44">
        <w:rPr>
          <w:rFonts w:ascii="Arial" w:eastAsia="Times New Roman" w:hAnsi="Arial" w:cs="Arial"/>
          <w:color w:val="000000"/>
          <w:lang w:eastAsia="en-GB"/>
        </w:rPr>
        <w:t xml:space="preserve"> a second formal Hearing </w:t>
      </w:r>
      <w:r w:rsidR="00F335A9" w:rsidRPr="00641D44">
        <w:rPr>
          <w:rFonts w:ascii="Arial" w:eastAsia="Times New Roman" w:hAnsi="Arial" w:cs="Arial"/>
          <w:color w:val="000000"/>
          <w:lang w:eastAsia="en-GB"/>
        </w:rPr>
        <w:t>s</w:t>
      </w:r>
      <w:r w:rsidR="00276368" w:rsidRPr="00641D44">
        <w:rPr>
          <w:rFonts w:ascii="Arial" w:eastAsia="Times New Roman" w:hAnsi="Arial" w:cs="Arial"/>
          <w:color w:val="000000"/>
          <w:lang w:eastAsia="en-GB"/>
        </w:rPr>
        <w:t>ession</w:t>
      </w:r>
      <w:r w:rsidR="00CD2CD1" w:rsidRPr="00641D44">
        <w:rPr>
          <w:rFonts w:ascii="Arial" w:eastAsia="Times New Roman" w:hAnsi="Arial" w:cs="Arial"/>
          <w:color w:val="000000"/>
          <w:lang w:eastAsia="en-GB"/>
        </w:rPr>
        <w:t xml:space="preserve"> and site inspections</w:t>
      </w:r>
      <w:r w:rsidR="00276368" w:rsidRPr="00641D44">
        <w:rPr>
          <w:rFonts w:ascii="Arial" w:eastAsia="Times New Roman" w:hAnsi="Arial" w:cs="Arial"/>
          <w:color w:val="000000"/>
          <w:lang w:eastAsia="en-GB"/>
        </w:rPr>
        <w:t xml:space="preserve">.  The landscape impacts of </w:t>
      </w:r>
      <w:r w:rsidR="00276368" w:rsidRPr="00641D44">
        <w:rPr>
          <w:rFonts w:ascii="Arial" w:eastAsia="Times New Roman" w:hAnsi="Arial" w:cs="Arial"/>
          <w:color w:val="000000"/>
          <w:lang w:eastAsia="en-GB"/>
        </w:rPr>
        <w:lastRenderedPageBreak/>
        <w:t xml:space="preserve">development would have become more apparent at that stage; but in the event </w:t>
      </w:r>
      <w:r w:rsidR="003F24D1" w:rsidRPr="00641D44">
        <w:rPr>
          <w:rFonts w:ascii="Arial" w:eastAsia="Times New Roman" w:hAnsi="Arial" w:cs="Arial"/>
          <w:color w:val="000000"/>
          <w:lang w:eastAsia="en-GB"/>
        </w:rPr>
        <w:t>they were somewhat overshadowed by the HRA issues concerning greater horseshoe bat</w:t>
      </w:r>
      <w:r w:rsidRPr="00641D44">
        <w:rPr>
          <w:rFonts w:ascii="Arial" w:eastAsia="Times New Roman" w:hAnsi="Arial" w:cs="Arial"/>
          <w:color w:val="000000"/>
          <w:lang w:eastAsia="en-GB"/>
        </w:rPr>
        <w:t>s</w:t>
      </w:r>
      <w:r w:rsidR="003F24D1" w:rsidRPr="00641D44">
        <w:rPr>
          <w:rFonts w:ascii="Arial" w:eastAsia="Times New Roman" w:hAnsi="Arial" w:cs="Arial"/>
          <w:color w:val="000000"/>
          <w:lang w:eastAsia="en-GB"/>
        </w:rPr>
        <w:t xml:space="preserve">.  </w:t>
      </w:r>
    </w:p>
    <w:p w14:paraId="396FABB6" w14:textId="06AC7B79" w:rsidR="003F24D1" w:rsidRPr="00641D44" w:rsidRDefault="005635A2" w:rsidP="00CD2CD1">
      <w:pPr>
        <w:spacing w:before="100" w:beforeAutospacing="1" w:after="100" w:afterAutospacing="1" w:line="360" w:lineRule="auto"/>
        <w:ind w:left="720" w:hanging="720"/>
        <w:jc w:val="both"/>
        <w:rPr>
          <w:rFonts w:ascii="Arial" w:eastAsia="Times New Roman" w:hAnsi="Arial" w:cs="Arial"/>
          <w:color w:val="000000"/>
          <w:lang w:eastAsia="en-GB"/>
        </w:rPr>
      </w:pPr>
      <w:r w:rsidRPr="00641D44">
        <w:rPr>
          <w:rFonts w:ascii="Arial" w:eastAsia="Times New Roman" w:hAnsi="Arial" w:cs="Arial"/>
          <w:color w:val="000000"/>
          <w:lang w:eastAsia="en-GB"/>
        </w:rPr>
        <w:t>5.1</w:t>
      </w:r>
      <w:r w:rsidR="00DC7C22" w:rsidRPr="00641D44">
        <w:rPr>
          <w:rFonts w:ascii="Arial" w:eastAsia="Times New Roman" w:hAnsi="Arial" w:cs="Arial"/>
          <w:color w:val="000000"/>
          <w:lang w:eastAsia="en-GB"/>
        </w:rPr>
        <w:t>6</w:t>
      </w:r>
      <w:r w:rsidRPr="00641D44">
        <w:rPr>
          <w:rFonts w:ascii="Arial" w:eastAsia="Times New Roman" w:hAnsi="Arial" w:cs="Arial"/>
          <w:color w:val="000000"/>
          <w:lang w:eastAsia="en-GB"/>
        </w:rPr>
        <w:tab/>
      </w:r>
      <w:r w:rsidR="00F335A9" w:rsidRPr="00641D44">
        <w:rPr>
          <w:rFonts w:ascii="Arial" w:eastAsia="Times New Roman" w:hAnsi="Arial" w:cs="Arial"/>
          <w:color w:val="000000"/>
          <w:lang w:eastAsia="en-GB"/>
        </w:rPr>
        <w:t>F</w:t>
      </w:r>
      <w:r w:rsidR="003F24D1" w:rsidRPr="00641D44">
        <w:rPr>
          <w:rFonts w:ascii="Arial" w:eastAsia="Times New Roman" w:hAnsi="Arial" w:cs="Arial"/>
          <w:color w:val="000000"/>
          <w:lang w:eastAsia="en-GB"/>
        </w:rPr>
        <w:t xml:space="preserve">or the reasons set out above, the Local Plan was adopted by the Council in December 2015, without Inglewood being identified as a development site.  The Council did not, however, discourage the </w:t>
      </w:r>
      <w:r w:rsidR="000B088A" w:rsidRPr="00641D44">
        <w:rPr>
          <w:rFonts w:ascii="Arial" w:eastAsia="Times New Roman" w:hAnsi="Arial" w:cs="Arial"/>
          <w:color w:val="000000"/>
          <w:lang w:eastAsia="en-GB"/>
        </w:rPr>
        <w:t>a</w:t>
      </w:r>
      <w:r w:rsidR="003F24D1" w:rsidRPr="00641D44">
        <w:rPr>
          <w:rFonts w:ascii="Arial" w:eastAsia="Times New Roman" w:hAnsi="Arial" w:cs="Arial"/>
          <w:color w:val="000000"/>
          <w:lang w:eastAsia="en-GB"/>
        </w:rPr>
        <w:t xml:space="preserve">ppellants from working up and submitting a detailed scheme, which resulted in application (P/2017/1133 being submitted in late 2017). </w:t>
      </w:r>
      <w:r w:rsidRPr="00641D44">
        <w:rPr>
          <w:rFonts w:ascii="Arial" w:eastAsia="Times New Roman" w:hAnsi="Arial" w:cs="Arial"/>
          <w:color w:val="000000"/>
          <w:lang w:eastAsia="en-GB"/>
        </w:rPr>
        <w:t>Indeed, paragraph 3.5.2 of the</w:t>
      </w:r>
      <w:r w:rsidR="003761E2" w:rsidRPr="00641D44">
        <w:rPr>
          <w:rFonts w:ascii="Arial" w:eastAsia="Times New Roman" w:hAnsi="Arial" w:cs="Arial"/>
          <w:color w:val="000000"/>
          <w:lang w:eastAsia="en-GB"/>
        </w:rPr>
        <w:t xml:space="preserve"> </w:t>
      </w:r>
      <w:r w:rsidRPr="00641D44">
        <w:rPr>
          <w:rFonts w:ascii="Arial" w:eastAsia="Times New Roman" w:hAnsi="Arial" w:cs="Arial"/>
          <w:color w:val="000000"/>
          <w:lang w:eastAsia="en-GB"/>
        </w:rPr>
        <w:t>L</w:t>
      </w:r>
      <w:r w:rsidR="00AA23BB" w:rsidRPr="00641D44">
        <w:rPr>
          <w:rFonts w:ascii="Arial" w:eastAsia="Times New Roman" w:hAnsi="Arial" w:cs="Arial"/>
          <w:color w:val="000000"/>
          <w:lang w:eastAsia="en-GB"/>
        </w:rPr>
        <w:t>ocal Development Scheme (L</w:t>
      </w:r>
      <w:r w:rsidRPr="00641D44">
        <w:rPr>
          <w:rFonts w:ascii="Arial" w:eastAsia="Times New Roman" w:hAnsi="Arial" w:cs="Arial"/>
          <w:color w:val="000000"/>
          <w:lang w:eastAsia="en-GB"/>
        </w:rPr>
        <w:t>DS</w:t>
      </w:r>
      <w:r w:rsidR="00AA23BB" w:rsidRPr="00641D44">
        <w:rPr>
          <w:rFonts w:ascii="Arial" w:eastAsia="Times New Roman" w:hAnsi="Arial" w:cs="Arial"/>
          <w:color w:val="000000"/>
          <w:lang w:eastAsia="en-GB"/>
        </w:rPr>
        <w:t>)</w:t>
      </w:r>
      <w:r w:rsidRPr="00641D44">
        <w:rPr>
          <w:rFonts w:ascii="Arial" w:eastAsia="Times New Roman" w:hAnsi="Arial" w:cs="Arial"/>
          <w:color w:val="000000"/>
          <w:lang w:eastAsia="en-GB"/>
        </w:rPr>
        <w:t xml:space="preserve"> (2017) </w:t>
      </w:r>
      <w:r w:rsidR="003761E2" w:rsidRPr="00641D44">
        <w:rPr>
          <w:rFonts w:ascii="Arial" w:eastAsia="Times New Roman" w:hAnsi="Arial" w:cs="Arial"/>
          <w:color w:val="000000"/>
          <w:lang w:eastAsia="en-GB"/>
        </w:rPr>
        <w:t xml:space="preserve">states </w:t>
      </w:r>
      <w:proofErr w:type="gramStart"/>
      <w:r w:rsidR="003761E2" w:rsidRPr="00641D44">
        <w:rPr>
          <w:rFonts w:ascii="Arial" w:eastAsia="Times New Roman" w:hAnsi="Arial" w:cs="Arial"/>
          <w:color w:val="000000"/>
          <w:lang w:eastAsia="en-GB"/>
        </w:rPr>
        <w:t>that  “</w:t>
      </w:r>
      <w:proofErr w:type="gramEnd"/>
      <w:r w:rsidR="003761E2" w:rsidRPr="00641D44">
        <w:rPr>
          <w:rFonts w:ascii="Arial" w:eastAsia="Times New Roman" w:hAnsi="Arial" w:cs="Arial"/>
          <w:i/>
          <w:iCs/>
          <w:color w:val="000000"/>
          <w:lang w:eastAsia="en-GB"/>
        </w:rPr>
        <w:t>Promotion of outline planning applications, or a Local Development Order, for the land south of White Rock, as per Policy SS1 (Growth strategy for a prosperous Torbay), paragraph 4.1.41 and the Local Plan Inspector’s Report</w:t>
      </w:r>
      <w:r w:rsidR="003761E2" w:rsidRPr="00641D44">
        <w:rPr>
          <w:rFonts w:ascii="Arial" w:eastAsia="Times New Roman" w:hAnsi="Arial" w:cs="Arial"/>
          <w:color w:val="000000"/>
          <w:lang w:eastAsia="en-GB"/>
        </w:rPr>
        <w:t xml:space="preserve">” may be one </w:t>
      </w:r>
      <w:r w:rsidR="00173058" w:rsidRPr="00641D44">
        <w:rPr>
          <w:rFonts w:ascii="Arial" w:eastAsia="Times New Roman" w:hAnsi="Arial" w:cs="Arial"/>
          <w:color w:val="000000"/>
          <w:lang w:eastAsia="en-GB"/>
        </w:rPr>
        <w:t xml:space="preserve">of a number of </w:t>
      </w:r>
      <w:r w:rsidR="003761E2" w:rsidRPr="00641D44">
        <w:rPr>
          <w:rFonts w:ascii="Arial" w:eastAsia="Times New Roman" w:hAnsi="Arial" w:cs="Arial"/>
          <w:color w:val="000000"/>
          <w:lang w:eastAsia="en-GB"/>
        </w:rPr>
        <w:t>measure</w:t>
      </w:r>
      <w:r w:rsidR="00173058" w:rsidRPr="00641D44">
        <w:rPr>
          <w:rFonts w:ascii="Arial" w:eastAsia="Times New Roman" w:hAnsi="Arial" w:cs="Arial"/>
          <w:color w:val="000000"/>
          <w:lang w:eastAsia="en-GB"/>
        </w:rPr>
        <w:t>s</w:t>
      </w:r>
      <w:r w:rsidR="003761E2" w:rsidRPr="00641D44">
        <w:rPr>
          <w:rFonts w:ascii="Arial" w:eastAsia="Times New Roman" w:hAnsi="Arial" w:cs="Arial"/>
          <w:color w:val="000000"/>
          <w:lang w:eastAsia="en-GB"/>
        </w:rPr>
        <w:t xml:space="preserve"> to bring forward additional housing sites</w:t>
      </w:r>
      <w:r w:rsidRPr="00641D44">
        <w:rPr>
          <w:rFonts w:ascii="Arial" w:eastAsia="Times New Roman" w:hAnsi="Arial" w:cs="Arial"/>
          <w:color w:val="000000"/>
          <w:lang w:eastAsia="en-GB"/>
        </w:rPr>
        <w:t xml:space="preserve"> in the event of a shortfall</w:t>
      </w:r>
      <w:r w:rsidR="003761E2" w:rsidRPr="00641D44">
        <w:rPr>
          <w:rFonts w:ascii="Arial" w:eastAsia="Times New Roman" w:hAnsi="Arial" w:cs="Arial"/>
          <w:color w:val="000000"/>
          <w:lang w:eastAsia="en-GB"/>
        </w:rPr>
        <w:t xml:space="preserve">.   </w:t>
      </w:r>
    </w:p>
    <w:p w14:paraId="0C1B378B" w14:textId="60DFD6DE" w:rsidR="003761E2" w:rsidRPr="00641D44" w:rsidRDefault="005635A2" w:rsidP="005635A2">
      <w:pPr>
        <w:spacing w:before="100" w:beforeAutospacing="1" w:after="100" w:afterAutospacing="1" w:line="360" w:lineRule="auto"/>
        <w:ind w:left="720" w:hanging="720"/>
        <w:jc w:val="both"/>
        <w:rPr>
          <w:rFonts w:ascii="Arial" w:eastAsia="Times New Roman" w:hAnsi="Arial" w:cs="Arial"/>
          <w:color w:val="000000"/>
          <w:lang w:eastAsia="en-GB"/>
        </w:rPr>
      </w:pPr>
      <w:r w:rsidRPr="00641D44">
        <w:rPr>
          <w:rFonts w:ascii="Arial" w:eastAsia="Times New Roman" w:hAnsi="Arial" w:cs="Arial"/>
          <w:color w:val="000000"/>
          <w:lang w:eastAsia="en-GB"/>
        </w:rPr>
        <w:t>5.1</w:t>
      </w:r>
      <w:r w:rsidR="00DC7C22" w:rsidRPr="00641D44">
        <w:rPr>
          <w:rFonts w:ascii="Arial" w:eastAsia="Times New Roman" w:hAnsi="Arial" w:cs="Arial"/>
          <w:color w:val="000000"/>
          <w:lang w:eastAsia="en-GB"/>
        </w:rPr>
        <w:t>7</w:t>
      </w:r>
      <w:r w:rsidRPr="00641D44">
        <w:rPr>
          <w:rFonts w:ascii="Arial" w:eastAsia="Times New Roman" w:hAnsi="Arial" w:cs="Arial"/>
          <w:color w:val="000000"/>
          <w:lang w:eastAsia="en-GB"/>
        </w:rPr>
        <w:tab/>
      </w:r>
      <w:r w:rsidR="003761E2" w:rsidRPr="00641D44">
        <w:rPr>
          <w:rFonts w:ascii="Arial" w:eastAsia="Times New Roman" w:hAnsi="Arial" w:cs="Arial"/>
          <w:color w:val="000000"/>
          <w:lang w:eastAsia="en-GB"/>
        </w:rPr>
        <w:t>The LDS is not a development plan document, nor can it be seen as binding the LPA to a particular site, particularly when all of the ramifications of de</w:t>
      </w:r>
      <w:r w:rsidR="00A17CA2" w:rsidRPr="00641D44">
        <w:rPr>
          <w:rFonts w:ascii="Arial" w:eastAsia="Times New Roman" w:hAnsi="Arial" w:cs="Arial"/>
          <w:color w:val="000000"/>
          <w:lang w:eastAsia="en-GB"/>
        </w:rPr>
        <w:t xml:space="preserve">velopment are fully understood. </w:t>
      </w:r>
      <w:r w:rsidR="00F335A9" w:rsidRPr="00641D44">
        <w:rPr>
          <w:rFonts w:ascii="Arial" w:eastAsia="Times New Roman" w:hAnsi="Arial" w:cs="Arial"/>
          <w:color w:val="000000"/>
          <w:lang w:eastAsia="en-GB"/>
        </w:rPr>
        <w:t xml:space="preserve"> </w:t>
      </w:r>
      <w:r w:rsidR="00A17CA2" w:rsidRPr="00641D44">
        <w:rPr>
          <w:rFonts w:ascii="Arial" w:eastAsia="Times New Roman" w:hAnsi="Arial" w:cs="Arial"/>
          <w:color w:val="000000"/>
          <w:lang w:eastAsia="en-GB"/>
        </w:rPr>
        <w:t xml:space="preserve">It is one of a number of options to be investigated.  </w:t>
      </w:r>
      <w:r w:rsidR="00F335A9" w:rsidRPr="00641D44">
        <w:rPr>
          <w:rFonts w:ascii="Arial" w:eastAsia="Times New Roman" w:hAnsi="Arial" w:cs="Arial"/>
          <w:color w:val="000000"/>
          <w:lang w:eastAsia="en-GB"/>
        </w:rPr>
        <w:t xml:space="preserve">Paragraph 4.1.41 refers to a need for </w:t>
      </w:r>
      <w:r w:rsidR="00A17CA2" w:rsidRPr="00641D44">
        <w:rPr>
          <w:rFonts w:ascii="Arial" w:eastAsia="Times New Roman" w:hAnsi="Arial" w:cs="Arial"/>
          <w:color w:val="000000"/>
          <w:lang w:eastAsia="en-GB"/>
        </w:rPr>
        <w:t xml:space="preserve">comprehensive supporting evidence to be submitted demonstrating no unacceptable harm in respect of biodiversity or landscape.  </w:t>
      </w:r>
      <w:r w:rsidR="003761E2" w:rsidRPr="00641D44">
        <w:rPr>
          <w:rFonts w:ascii="Arial" w:eastAsia="Times New Roman" w:hAnsi="Arial" w:cs="Arial"/>
          <w:color w:val="000000"/>
          <w:lang w:eastAsia="en-GB"/>
        </w:rPr>
        <w:t xml:space="preserve">I had no part in the writing of this </w:t>
      </w:r>
      <w:r w:rsidRPr="00641D44">
        <w:rPr>
          <w:rFonts w:ascii="Arial" w:eastAsia="Times New Roman" w:hAnsi="Arial" w:cs="Arial"/>
          <w:color w:val="000000"/>
          <w:lang w:eastAsia="en-GB"/>
        </w:rPr>
        <w:t xml:space="preserve">section </w:t>
      </w:r>
      <w:r w:rsidR="003761E2" w:rsidRPr="00641D44">
        <w:rPr>
          <w:rFonts w:ascii="Arial" w:eastAsia="Times New Roman" w:hAnsi="Arial" w:cs="Arial"/>
          <w:color w:val="000000"/>
          <w:lang w:eastAsia="en-GB"/>
        </w:rPr>
        <w:t>of the LDS</w:t>
      </w:r>
      <w:r w:rsidRPr="00641D44">
        <w:rPr>
          <w:rFonts w:ascii="Arial" w:eastAsia="Times New Roman" w:hAnsi="Arial" w:cs="Arial"/>
          <w:color w:val="000000"/>
          <w:lang w:eastAsia="en-GB"/>
        </w:rPr>
        <w:t>, which with respect to my employer</w:t>
      </w:r>
      <w:r w:rsidR="00AD27F7" w:rsidRPr="00641D44">
        <w:rPr>
          <w:rFonts w:ascii="Arial" w:eastAsia="Times New Roman" w:hAnsi="Arial" w:cs="Arial"/>
          <w:color w:val="000000"/>
          <w:lang w:eastAsia="en-GB"/>
        </w:rPr>
        <w:t>,</w:t>
      </w:r>
      <w:r w:rsidRPr="00641D44">
        <w:rPr>
          <w:rFonts w:ascii="Arial" w:eastAsia="Times New Roman" w:hAnsi="Arial" w:cs="Arial"/>
          <w:color w:val="000000"/>
          <w:lang w:eastAsia="en-GB"/>
        </w:rPr>
        <w:t xml:space="preserve"> goes significantly further than the text in Policy SS13</w:t>
      </w:r>
      <w:r w:rsidR="00AD27F7" w:rsidRPr="00641D44">
        <w:rPr>
          <w:rFonts w:ascii="Arial" w:eastAsia="Times New Roman" w:hAnsi="Arial" w:cs="Arial"/>
          <w:color w:val="000000"/>
          <w:lang w:eastAsia="en-GB"/>
        </w:rPr>
        <w:t xml:space="preserve"> </w:t>
      </w:r>
      <w:r w:rsidRPr="00641D44">
        <w:rPr>
          <w:rFonts w:ascii="Arial" w:eastAsia="Times New Roman" w:hAnsi="Arial" w:cs="Arial"/>
          <w:color w:val="000000"/>
          <w:lang w:eastAsia="en-GB"/>
        </w:rPr>
        <w:t xml:space="preserve">of the Local Plan upon which it is based. </w:t>
      </w:r>
      <w:r w:rsidR="003761E2" w:rsidRPr="00641D44">
        <w:rPr>
          <w:rFonts w:ascii="Arial" w:eastAsia="Times New Roman" w:hAnsi="Arial" w:cs="Arial"/>
          <w:color w:val="000000"/>
          <w:lang w:eastAsia="en-GB"/>
        </w:rPr>
        <w:t xml:space="preserve"> </w:t>
      </w:r>
      <w:r w:rsidRPr="00641D44">
        <w:rPr>
          <w:rFonts w:ascii="Arial" w:eastAsia="Times New Roman" w:hAnsi="Arial" w:cs="Arial"/>
          <w:color w:val="000000"/>
          <w:lang w:eastAsia="en-GB"/>
        </w:rPr>
        <w:t>M</w:t>
      </w:r>
      <w:r w:rsidR="003761E2" w:rsidRPr="00641D44">
        <w:rPr>
          <w:rFonts w:ascii="Arial" w:eastAsia="Times New Roman" w:hAnsi="Arial" w:cs="Arial"/>
          <w:color w:val="000000"/>
          <w:lang w:eastAsia="en-GB"/>
        </w:rPr>
        <w:t xml:space="preserve">y view at the time was that a proposal of the scale and impact of Inglewood should be promoted through a development plan.  </w:t>
      </w:r>
      <w:r w:rsidR="00AD27F7" w:rsidRPr="00641D44">
        <w:rPr>
          <w:rFonts w:ascii="Arial" w:eastAsia="Times New Roman" w:hAnsi="Arial" w:cs="Arial"/>
          <w:color w:val="000000"/>
          <w:lang w:eastAsia="en-GB"/>
        </w:rPr>
        <w:t xml:space="preserve">At that time the focus of the LPA’s attention had shifted to the Neighbourhood Plans. </w:t>
      </w:r>
    </w:p>
    <w:p w14:paraId="0B2E7B7C" w14:textId="50088273" w:rsidR="006C312A" w:rsidRPr="00641D44" w:rsidRDefault="005635A2" w:rsidP="00AD27F7">
      <w:pPr>
        <w:spacing w:before="100" w:beforeAutospacing="1" w:after="100" w:afterAutospacing="1" w:line="360" w:lineRule="auto"/>
        <w:ind w:left="720" w:hanging="720"/>
        <w:jc w:val="both"/>
        <w:rPr>
          <w:rFonts w:ascii="Arial" w:eastAsia="Times New Roman" w:hAnsi="Arial" w:cs="Arial"/>
          <w:color w:val="000000"/>
          <w:lang w:eastAsia="en-GB"/>
        </w:rPr>
      </w:pPr>
      <w:r w:rsidRPr="00641D44">
        <w:rPr>
          <w:rFonts w:ascii="Arial" w:eastAsia="Times New Roman" w:hAnsi="Arial" w:cs="Arial"/>
          <w:color w:val="000000"/>
          <w:lang w:eastAsia="en-GB"/>
        </w:rPr>
        <w:t>5.1</w:t>
      </w:r>
      <w:r w:rsidR="00DC7C22" w:rsidRPr="00641D44">
        <w:rPr>
          <w:rFonts w:ascii="Arial" w:eastAsia="Times New Roman" w:hAnsi="Arial" w:cs="Arial"/>
          <w:color w:val="000000"/>
          <w:lang w:eastAsia="en-GB"/>
        </w:rPr>
        <w:t>8</w:t>
      </w:r>
      <w:r w:rsidRPr="00641D44">
        <w:rPr>
          <w:rFonts w:ascii="Arial" w:eastAsia="Times New Roman" w:hAnsi="Arial" w:cs="Arial"/>
          <w:color w:val="000000"/>
          <w:lang w:eastAsia="en-GB"/>
        </w:rPr>
        <w:tab/>
      </w:r>
      <w:r w:rsidR="003761E2" w:rsidRPr="00641D44">
        <w:rPr>
          <w:rFonts w:ascii="Arial" w:eastAsia="Times New Roman" w:hAnsi="Arial" w:cs="Arial"/>
          <w:color w:val="000000"/>
          <w:lang w:eastAsia="en-GB"/>
        </w:rPr>
        <w:t xml:space="preserve">The 2017 LDS places great emphasis on Neighbourhood Plans, </w:t>
      </w:r>
      <w:r w:rsidRPr="00641D44">
        <w:rPr>
          <w:rFonts w:ascii="Arial" w:eastAsia="Times New Roman" w:hAnsi="Arial" w:cs="Arial"/>
          <w:color w:val="000000"/>
          <w:lang w:eastAsia="en-GB"/>
        </w:rPr>
        <w:t xml:space="preserve">which were at that time under preparation.   </w:t>
      </w:r>
      <w:r w:rsidR="00452753" w:rsidRPr="00641D44">
        <w:rPr>
          <w:rFonts w:ascii="Arial" w:eastAsia="Times New Roman" w:hAnsi="Arial" w:cs="Arial"/>
          <w:color w:val="000000"/>
          <w:lang w:eastAsia="en-GB"/>
        </w:rPr>
        <w:t>I return to Neighbourhood Planning in Torbay, the diametrical conflict between the proposal and the BPNP, and why the principle of localism should be respected</w:t>
      </w:r>
      <w:r w:rsidR="00AD27F7" w:rsidRPr="00641D44">
        <w:rPr>
          <w:rFonts w:ascii="Arial" w:eastAsia="Times New Roman" w:hAnsi="Arial" w:cs="Arial"/>
          <w:color w:val="000000"/>
          <w:lang w:eastAsia="en-GB"/>
        </w:rPr>
        <w:t>,</w:t>
      </w:r>
      <w:r w:rsidR="00452753" w:rsidRPr="00641D44">
        <w:rPr>
          <w:rFonts w:ascii="Arial" w:eastAsia="Times New Roman" w:hAnsi="Arial" w:cs="Arial"/>
          <w:color w:val="000000"/>
          <w:lang w:eastAsia="en-GB"/>
        </w:rPr>
        <w:t xml:space="preserve"> in the next section. </w:t>
      </w:r>
    </w:p>
    <w:p w14:paraId="1143E911" w14:textId="77777777" w:rsidR="00BC1087" w:rsidRPr="00641D44" w:rsidRDefault="00AD27F7" w:rsidP="00AD27F7">
      <w:pPr>
        <w:spacing w:line="360" w:lineRule="auto"/>
        <w:ind w:left="720" w:hanging="720"/>
        <w:rPr>
          <w:rFonts w:ascii="Arial" w:hAnsi="Arial" w:cs="Arial"/>
          <w:b/>
        </w:rPr>
      </w:pPr>
      <w:r w:rsidRPr="00641D44">
        <w:rPr>
          <w:rFonts w:ascii="Arial" w:hAnsi="Arial" w:cs="Arial"/>
          <w:b/>
        </w:rPr>
        <w:t>6</w:t>
      </w:r>
      <w:r w:rsidRPr="00641D44">
        <w:rPr>
          <w:rFonts w:ascii="Arial" w:hAnsi="Arial" w:cs="Arial"/>
          <w:b/>
        </w:rPr>
        <w:tab/>
      </w:r>
      <w:r w:rsidR="00BC1087" w:rsidRPr="00641D44">
        <w:rPr>
          <w:rFonts w:ascii="Arial" w:hAnsi="Arial" w:cs="Arial"/>
          <w:b/>
        </w:rPr>
        <w:t>Conflict with the Brixham Peninsula Neighbourhood Plan</w:t>
      </w:r>
      <w:r w:rsidRPr="00641D44">
        <w:rPr>
          <w:rFonts w:ascii="Arial" w:hAnsi="Arial" w:cs="Arial"/>
          <w:b/>
        </w:rPr>
        <w:t xml:space="preserve"> (BPBP</w:t>
      </w:r>
      <w:r w:rsidR="00BC1087" w:rsidRPr="00641D44">
        <w:rPr>
          <w:rFonts w:ascii="Arial" w:hAnsi="Arial" w:cs="Arial"/>
          <w:b/>
        </w:rPr>
        <w:t xml:space="preserve"> and SDB1 of the Torbay Local Plan (Reason 1) </w:t>
      </w:r>
    </w:p>
    <w:p w14:paraId="7550DA4F" w14:textId="77777777" w:rsidR="001363D5" w:rsidRPr="00641D44" w:rsidRDefault="00AD27F7" w:rsidP="0072052E">
      <w:pPr>
        <w:spacing w:line="360" w:lineRule="auto"/>
        <w:ind w:left="720" w:hanging="720"/>
        <w:rPr>
          <w:rFonts w:ascii="Arial" w:hAnsi="Arial" w:cs="Arial"/>
          <w:bCs/>
        </w:rPr>
      </w:pPr>
      <w:r w:rsidRPr="00641D44">
        <w:rPr>
          <w:rFonts w:ascii="Arial" w:hAnsi="Arial" w:cs="Arial"/>
          <w:bCs/>
        </w:rPr>
        <w:t>6.1</w:t>
      </w:r>
      <w:r w:rsidRPr="00641D44">
        <w:rPr>
          <w:rFonts w:ascii="Arial" w:hAnsi="Arial" w:cs="Arial"/>
          <w:bCs/>
        </w:rPr>
        <w:tab/>
      </w:r>
      <w:r w:rsidR="001363D5" w:rsidRPr="00641D44">
        <w:rPr>
          <w:rFonts w:ascii="Arial" w:hAnsi="Arial" w:cs="Arial"/>
          <w:bCs/>
        </w:rPr>
        <w:t xml:space="preserve">The Council’s first putative reason for refusal relates to the conflict with the BPNP. </w:t>
      </w:r>
    </w:p>
    <w:p w14:paraId="39D3FE30" w14:textId="77777777" w:rsidR="001208EB" w:rsidRPr="00641D44" w:rsidRDefault="00723662" w:rsidP="00AD27F7">
      <w:pPr>
        <w:spacing w:line="360" w:lineRule="auto"/>
        <w:ind w:left="720"/>
        <w:rPr>
          <w:rFonts w:ascii="Arial" w:eastAsia="Times New Roman" w:hAnsi="Arial" w:cs="Arial"/>
          <w:bCs/>
          <w:i/>
          <w:color w:val="000000" w:themeColor="text1"/>
          <w:lang w:eastAsia="en-GB"/>
        </w:rPr>
      </w:pPr>
      <w:r w:rsidRPr="00641D44">
        <w:rPr>
          <w:rFonts w:ascii="Arial" w:hAnsi="Arial" w:cs="Arial"/>
          <w:b/>
          <w:bCs/>
          <w:i/>
          <w:color w:val="000000" w:themeColor="text1"/>
        </w:rPr>
        <w:t>“</w:t>
      </w:r>
      <w:r w:rsidR="001208EB" w:rsidRPr="00641D44">
        <w:rPr>
          <w:rFonts w:ascii="Arial" w:hAnsi="Arial" w:cs="Arial"/>
          <w:b/>
          <w:bCs/>
          <w:i/>
          <w:color w:val="000000" w:themeColor="text1"/>
        </w:rPr>
        <w:t>The proposal is significantly and demonstrably contrary to</w:t>
      </w:r>
      <w:r w:rsidR="001208EB" w:rsidRPr="00641D44">
        <w:rPr>
          <w:rFonts w:ascii="Arial" w:hAnsi="Arial" w:cs="Arial"/>
          <w:b/>
          <w:i/>
          <w:color w:val="000000" w:themeColor="text1"/>
        </w:rPr>
        <w:t xml:space="preserve"> </w:t>
      </w:r>
      <w:r w:rsidR="001208EB" w:rsidRPr="00641D44">
        <w:rPr>
          <w:rFonts w:ascii="Arial" w:hAnsi="Arial" w:cs="Arial"/>
          <w:b/>
          <w:bCs/>
          <w:i/>
          <w:color w:val="000000" w:themeColor="text1"/>
        </w:rPr>
        <w:t xml:space="preserve">Policies BH3, BH4, BH9, E1, E2, E3 and E6 </w:t>
      </w:r>
      <w:r w:rsidR="00294F33" w:rsidRPr="00641D44">
        <w:rPr>
          <w:rFonts w:ascii="Arial" w:hAnsi="Arial" w:cs="Arial"/>
          <w:b/>
          <w:bCs/>
          <w:i/>
          <w:color w:val="000000" w:themeColor="text1"/>
        </w:rPr>
        <w:t>of</w:t>
      </w:r>
      <w:r w:rsidR="001208EB" w:rsidRPr="00641D44">
        <w:rPr>
          <w:rFonts w:ascii="Arial" w:hAnsi="Arial" w:cs="Arial"/>
          <w:b/>
          <w:bCs/>
          <w:i/>
          <w:color w:val="000000" w:themeColor="text1"/>
        </w:rPr>
        <w:t xml:space="preserve"> the Brixham Peninsula Neighbourhood Plan and the strategic framework for the Neighbourhood Plan set by Policy SDB1 of the Torbay Local Plan 2012-30.  The extent of this conflict, including development of an area identified as a settlement gap identified in Policy E3 of the </w:t>
      </w:r>
      <w:r w:rsidR="001208EB" w:rsidRPr="00641D44">
        <w:rPr>
          <w:rFonts w:ascii="Arial" w:hAnsi="Arial" w:cs="Arial"/>
          <w:b/>
          <w:bCs/>
          <w:i/>
          <w:color w:val="000000" w:themeColor="text1"/>
        </w:rPr>
        <w:lastRenderedPageBreak/>
        <w:t>Neighbourhood Plan, would seriously undermine the Development Plan as a whole</w:t>
      </w:r>
      <w:r w:rsidRPr="00641D44">
        <w:rPr>
          <w:rFonts w:ascii="Arial" w:hAnsi="Arial" w:cs="Arial"/>
          <w:b/>
          <w:bCs/>
          <w:i/>
          <w:color w:val="000000" w:themeColor="text1"/>
        </w:rPr>
        <w:t>”</w:t>
      </w:r>
      <w:r w:rsidR="001208EB" w:rsidRPr="00641D44">
        <w:rPr>
          <w:rFonts w:ascii="Arial" w:hAnsi="Arial" w:cs="Arial"/>
          <w:b/>
          <w:bCs/>
          <w:i/>
          <w:color w:val="000000" w:themeColor="text1"/>
        </w:rPr>
        <w:t>.</w:t>
      </w:r>
      <w:r w:rsidR="001208EB" w:rsidRPr="00641D44">
        <w:rPr>
          <w:rFonts w:ascii="Arial" w:hAnsi="Arial" w:cs="Arial"/>
          <w:bCs/>
          <w:i/>
          <w:color w:val="000000" w:themeColor="text1"/>
        </w:rPr>
        <w:t xml:space="preserve">  </w:t>
      </w:r>
    </w:p>
    <w:p w14:paraId="14CB4A16" w14:textId="77777777" w:rsidR="008B2DE2" w:rsidRPr="00641D44" w:rsidRDefault="008B2DE2" w:rsidP="00AD27F7">
      <w:pPr>
        <w:spacing w:line="360" w:lineRule="auto"/>
        <w:ind w:firstLine="720"/>
        <w:rPr>
          <w:rFonts w:ascii="Arial" w:hAnsi="Arial" w:cs="Arial"/>
          <w:b/>
        </w:rPr>
      </w:pPr>
      <w:r w:rsidRPr="00641D44">
        <w:rPr>
          <w:rFonts w:ascii="Arial" w:hAnsi="Arial" w:cs="Arial"/>
          <w:b/>
        </w:rPr>
        <w:t xml:space="preserve">Neighbourhood Planning In Torbay </w:t>
      </w:r>
    </w:p>
    <w:p w14:paraId="55E5EEE1" w14:textId="097DF055" w:rsidR="006F7355" w:rsidRPr="00641D44" w:rsidRDefault="00AD27F7" w:rsidP="00CD2CD1">
      <w:pPr>
        <w:spacing w:line="360" w:lineRule="auto"/>
        <w:ind w:left="720" w:hanging="720"/>
        <w:jc w:val="both"/>
        <w:rPr>
          <w:rFonts w:ascii="Arial" w:hAnsi="Arial" w:cs="Arial"/>
        </w:rPr>
      </w:pPr>
      <w:r w:rsidRPr="00641D44">
        <w:rPr>
          <w:rFonts w:ascii="Arial" w:hAnsi="Arial" w:cs="Arial"/>
        </w:rPr>
        <w:t>6.2</w:t>
      </w:r>
      <w:r w:rsidRPr="00641D44">
        <w:rPr>
          <w:rFonts w:ascii="Arial" w:hAnsi="Arial" w:cs="Arial"/>
        </w:rPr>
        <w:tab/>
      </w:r>
      <w:r w:rsidR="00CB5130" w:rsidRPr="00641D44">
        <w:rPr>
          <w:rFonts w:ascii="Arial" w:hAnsi="Arial" w:cs="Arial"/>
        </w:rPr>
        <w:t xml:space="preserve">Torbay Council embraced the Coalition Government’s Localism agenda fully, with the creation of three </w:t>
      </w:r>
      <w:r w:rsidRPr="00641D44">
        <w:rPr>
          <w:rFonts w:ascii="Arial" w:hAnsi="Arial" w:cs="Arial"/>
        </w:rPr>
        <w:t xml:space="preserve">large </w:t>
      </w:r>
      <w:r w:rsidR="00CB5130" w:rsidRPr="00641D44">
        <w:rPr>
          <w:rFonts w:ascii="Arial" w:hAnsi="Arial" w:cs="Arial"/>
        </w:rPr>
        <w:t xml:space="preserve">Neighbourhood Plan areas in 2011 giving Bay-wide </w:t>
      </w:r>
      <w:r w:rsidRPr="00641D44">
        <w:rPr>
          <w:rFonts w:ascii="Arial" w:hAnsi="Arial" w:cs="Arial"/>
        </w:rPr>
        <w:t>n</w:t>
      </w:r>
      <w:r w:rsidR="00CB5130" w:rsidRPr="00641D44">
        <w:rPr>
          <w:rFonts w:ascii="Arial" w:hAnsi="Arial" w:cs="Arial"/>
        </w:rPr>
        <w:t>eighbourhood</w:t>
      </w:r>
      <w:r w:rsidR="00A17CA2" w:rsidRPr="00641D44">
        <w:rPr>
          <w:rFonts w:ascii="Arial" w:hAnsi="Arial" w:cs="Arial"/>
        </w:rPr>
        <w:t xml:space="preserve"> forum</w:t>
      </w:r>
      <w:r w:rsidR="00CB5130" w:rsidRPr="00641D44">
        <w:rPr>
          <w:rFonts w:ascii="Arial" w:hAnsi="Arial" w:cs="Arial"/>
        </w:rPr>
        <w:t xml:space="preserve"> coverage.  The Neighbourhood Forums were asked to allocate non-strategic sites to complement the Local Plan</w:t>
      </w:r>
      <w:r w:rsidR="00A2112D" w:rsidRPr="00641D44">
        <w:rPr>
          <w:rFonts w:ascii="Arial" w:hAnsi="Arial" w:cs="Arial"/>
        </w:rPr>
        <w:t>’s strategic allocations in</w:t>
      </w:r>
      <w:r w:rsidR="00CB5130" w:rsidRPr="00641D44">
        <w:rPr>
          <w:rFonts w:ascii="Arial" w:hAnsi="Arial" w:cs="Arial"/>
        </w:rPr>
        <w:t xml:space="preserve"> Future Growth Areas (</w:t>
      </w:r>
      <w:r w:rsidR="000B088A" w:rsidRPr="00641D44">
        <w:rPr>
          <w:rFonts w:ascii="Arial" w:hAnsi="Arial" w:cs="Arial"/>
        </w:rPr>
        <w:t>s</w:t>
      </w:r>
      <w:r w:rsidR="00CB5130" w:rsidRPr="00641D44">
        <w:rPr>
          <w:rFonts w:ascii="Arial" w:hAnsi="Arial" w:cs="Arial"/>
        </w:rPr>
        <w:t>ee Local Plan Policies SS1,</w:t>
      </w:r>
      <w:r w:rsidR="008B2DE2" w:rsidRPr="00641D44">
        <w:rPr>
          <w:rFonts w:ascii="Arial" w:hAnsi="Arial" w:cs="Arial"/>
        </w:rPr>
        <w:t xml:space="preserve"> </w:t>
      </w:r>
      <w:r w:rsidR="00CB5130" w:rsidRPr="00641D44">
        <w:rPr>
          <w:rFonts w:ascii="Arial" w:hAnsi="Arial" w:cs="Arial"/>
        </w:rPr>
        <w:t>SS2 and SS12).  Brixham Neighbourhood Forum was set up as a working group of Brixham Town Council</w:t>
      </w:r>
      <w:r w:rsidR="00A17CA2" w:rsidRPr="00641D44">
        <w:rPr>
          <w:rStyle w:val="FootnoteReference"/>
          <w:rFonts w:ascii="Arial" w:hAnsi="Arial" w:cs="Arial"/>
        </w:rPr>
        <w:footnoteReference w:id="3"/>
      </w:r>
      <w:r w:rsidR="006F7355" w:rsidRPr="00641D44">
        <w:rPr>
          <w:rFonts w:ascii="Arial" w:hAnsi="Arial" w:cs="Arial"/>
        </w:rPr>
        <w:t>.</w:t>
      </w:r>
      <w:r w:rsidR="00A17CA2" w:rsidRPr="00641D44">
        <w:rPr>
          <w:rFonts w:ascii="Arial" w:hAnsi="Arial" w:cs="Arial"/>
        </w:rPr>
        <w:t xml:space="preserve"> </w:t>
      </w:r>
      <w:r w:rsidRPr="00641D44">
        <w:rPr>
          <w:rFonts w:ascii="Arial" w:hAnsi="Arial" w:cs="Arial"/>
        </w:rPr>
        <w:t xml:space="preserve"> It is the smallest of the three </w:t>
      </w:r>
      <w:r w:rsidR="00A17CA2" w:rsidRPr="00641D44">
        <w:rPr>
          <w:rFonts w:ascii="Arial" w:hAnsi="Arial" w:cs="Arial"/>
        </w:rPr>
        <w:t>neighbourhood plan areas</w:t>
      </w:r>
      <w:r w:rsidRPr="00641D44">
        <w:rPr>
          <w:rFonts w:ascii="Arial" w:hAnsi="Arial" w:cs="Arial"/>
        </w:rPr>
        <w:t>, covering the most environmentally constrained area of Torbay.  In consequence the housing requirement</w:t>
      </w:r>
      <w:r w:rsidR="00A17CA2" w:rsidRPr="00641D44">
        <w:rPr>
          <w:rFonts w:ascii="Arial" w:hAnsi="Arial" w:cs="Arial"/>
        </w:rPr>
        <w:t>,</w:t>
      </w:r>
      <w:r w:rsidRPr="00641D44">
        <w:rPr>
          <w:rFonts w:ascii="Arial" w:hAnsi="Arial" w:cs="Arial"/>
        </w:rPr>
        <w:t xml:space="preserve"> set out in Policy SDB1 and SS12 of the Local Plan, is the lowest of the three Neighbourhood Plan areas, at 660 dwellings </w:t>
      </w:r>
      <w:r w:rsidR="00F73963" w:rsidRPr="00641D44">
        <w:rPr>
          <w:rFonts w:ascii="Arial" w:hAnsi="Arial" w:cs="Arial"/>
        </w:rPr>
        <w:t xml:space="preserve">for the Plan </w:t>
      </w:r>
      <w:r w:rsidR="00A17CA2" w:rsidRPr="00641D44">
        <w:rPr>
          <w:rFonts w:ascii="Arial" w:hAnsi="Arial" w:cs="Arial"/>
        </w:rPr>
        <w:t>p</w:t>
      </w:r>
      <w:r w:rsidR="00F73963" w:rsidRPr="00641D44">
        <w:rPr>
          <w:rFonts w:ascii="Arial" w:hAnsi="Arial" w:cs="Arial"/>
        </w:rPr>
        <w:t>eriod</w:t>
      </w:r>
      <w:r w:rsidR="00302C46" w:rsidRPr="00641D44">
        <w:rPr>
          <w:rFonts w:ascii="Arial" w:hAnsi="Arial" w:cs="Arial"/>
        </w:rPr>
        <w:t>.</w:t>
      </w:r>
      <w:r w:rsidRPr="00641D44">
        <w:rPr>
          <w:rFonts w:ascii="Arial" w:hAnsi="Arial" w:cs="Arial"/>
        </w:rPr>
        <w:t xml:space="preserve">  </w:t>
      </w:r>
    </w:p>
    <w:p w14:paraId="710A131D" w14:textId="17E6BA18" w:rsidR="00AD27F7" w:rsidRPr="00641D44" w:rsidRDefault="00AD27F7" w:rsidP="00CD2CD1">
      <w:pPr>
        <w:spacing w:line="360" w:lineRule="auto"/>
        <w:ind w:left="720" w:hanging="720"/>
        <w:jc w:val="both"/>
        <w:rPr>
          <w:rFonts w:ascii="Arial" w:hAnsi="Arial" w:cs="Arial"/>
        </w:rPr>
      </w:pPr>
      <w:r w:rsidRPr="00641D44">
        <w:rPr>
          <w:rFonts w:ascii="Arial" w:hAnsi="Arial" w:cs="Arial"/>
        </w:rPr>
        <w:t>6.3</w:t>
      </w:r>
      <w:r w:rsidRPr="00641D44">
        <w:rPr>
          <w:rFonts w:ascii="Arial" w:hAnsi="Arial" w:cs="Arial"/>
        </w:rPr>
        <w:tab/>
      </w:r>
      <w:r w:rsidR="008B2DE2" w:rsidRPr="00641D44">
        <w:rPr>
          <w:rFonts w:ascii="Arial" w:hAnsi="Arial" w:cs="Arial"/>
        </w:rPr>
        <w:t xml:space="preserve">On this basis, Torbay has delegated significant responsibility to the Neighbourhood </w:t>
      </w:r>
      <w:r w:rsidR="00A17CA2" w:rsidRPr="00641D44">
        <w:rPr>
          <w:rFonts w:ascii="Arial" w:hAnsi="Arial" w:cs="Arial"/>
        </w:rPr>
        <w:t>Forums</w:t>
      </w:r>
      <w:r w:rsidR="00A2112D" w:rsidRPr="00641D44">
        <w:rPr>
          <w:rFonts w:ascii="Arial" w:hAnsi="Arial" w:cs="Arial"/>
        </w:rPr>
        <w:t xml:space="preserve"> to plan for the individual areas, within a broad strategic context set by the Local Plan.  </w:t>
      </w:r>
      <w:r w:rsidRPr="00641D44">
        <w:rPr>
          <w:rFonts w:ascii="Arial" w:hAnsi="Arial" w:cs="Arial"/>
        </w:rPr>
        <w:t xml:space="preserve">It gives the Forums significant latitude to develop local growth strategies to meet the requirement handed down by the Local Plan.  </w:t>
      </w:r>
    </w:p>
    <w:p w14:paraId="2A8C3686" w14:textId="21DF5198" w:rsidR="008B2DE2" w:rsidRPr="00641D44" w:rsidRDefault="00AD27F7" w:rsidP="00CD2CD1">
      <w:pPr>
        <w:spacing w:line="360" w:lineRule="auto"/>
        <w:ind w:left="720" w:hanging="720"/>
        <w:jc w:val="both"/>
        <w:rPr>
          <w:rFonts w:ascii="Arial" w:hAnsi="Arial" w:cs="Arial"/>
        </w:rPr>
      </w:pPr>
      <w:r w:rsidRPr="00641D44">
        <w:rPr>
          <w:rFonts w:ascii="Arial" w:hAnsi="Arial" w:cs="Arial"/>
        </w:rPr>
        <w:t>6.4</w:t>
      </w:r>
      <w:r w:rsidRPr="00641D44">
        <w:rPr>
          <w:rFonts w:ascii="Arial" w:hAnsi="Arial" w:cs="Arial"/>
        </w:rPr>
        <w:tab/>
      </w:r>
      <w:r w:rsidR="00A2112D" w:rsidRPr="00641D44">
        <w:rPr>
          <w:rFonts w:ascii="Arial" w:hAnsi="Arial" w:cs="Arial"/>
        </w:rPr>
        <w:t xml:space="preserve">Although this approach was chosen before the revised </w:t>
      </w:r>
      <w:r w:rsidRPr="00641D44">
        <w:rPr>
          <w:rFonts w:ascii="Arial" w:hAnsi="Arial" w:cs="Arial"/>
        </w:rPr>
        <w:t xml:space="preserve">(2019) </w:t>
      </w:r>
      <w:r w:rsidR="00A2112D" w:rsidRPr="00641D44">
        <w:rPr>
          <w:rFonts w:ascii="Arial" w:hAnsi="Arial" w:cs="Arial"/>
        </w:rPr>
        <w:t>NPPF</w:t>
      </w:r>
      <w:r w:rsidR="0024411C" w:rsidRPr="00641D44">
        <w:rPr>
          <w:rFonts w:ascii="Arial" w:hAnsi="Arial" w:cs="Arial"/>
        </w:rPr>
        <w:t xml:space="preserve">, it accords closely with the approach set out in Chapter 3 of the (2019) Framework; and </w:t>
      </w:r>
      <w:r w:rsidRPr="00641D44">
        <w:rPr>
          <w:rFonts w:ascii="Arial" w:hAnsi="Arial" w:cs="Arial"/>
        </w:rPr>
        <w:t>was recently</w:t>
      </w:r>
      <w:r w:rsidR="0024411C" w:rsidRPr="00641D44">
        <w:rPr>
          <w:rFonts w:ascii="Arial" w:hAnsi="Arial" w:cs="Arial"/>
        </w:rPr>
        <w:t xml:space="preserve"> summaris</w:t>
      </w:r>
      <w:r w:rsidR="001363D5" w:rsidRPr="00641D44">
        <w:rPr>
          <w:rFonts w:ascii="Arial" w:hAnsi="Arial" w:cs="Arial"/>
        </w:rPr>
        <w:t xml:space="preserve">ed </w:t>
      </w:r>
      <w:r w:rsidRPr="00641D44">
        <w:rPr>
          <w:rFonts w:ascii="Arial" w:hAnsi="Arial" w:cs="Arial"/>
        </w:rPr>
        <w:t>very lucidly</w:t>
      </w:r>
      <w:r w:rsidR="001363D5" w:rsidRPr="00641D44">
        <w:rPr>
          <w:rFonts w:ascii="Arial" w:hAnsi="Arial" w:cs="Arial"/>
        </w:rPr>
        <w:t xml:space="preserve"> by Mr Jenrick in relation to Torbay </w:t>
      </w:r>
      <w:r w:rsidR="00B12B14" w:rsidRPr="00641D44">
        <w:rPr>
          <w:rFonts w:ascii="Arial" w:hAnsi="Arial" w:cs="Arial"/>
        </w:rPr>
        <w:t>on a visit to Torbay in December 2019</w:t>
      </w:r>
      <w:r w:rsidR="00AA49BB" w:rsidRPr="00641D44">
        <w:rPr>
          <w:rFonts w:ascii="Arial" w:hAnsi="Arial" w:cs="Arial"/>
        </w:rPr>
        <w:t xml:space="preserve"> (CD7.4)</w:t>
      </w:r>
      <w:r w:rsidR="00B12B14" w:rsidRPr="00641D44">
        <w:rPr>
          <w:rFonts w:ascii="Arial" w:hAnsi="Arial" w:cs="Arial"/>
        </w:rPr>
        <w:t xml:space="preserve">. </w:t>
      </w:r>
    </w:p>
    <w:p w14:paraId="6014773D" w14:textId="77777777" w:rsidR="00B57BAD" w:rsidRPr="00641D44" w:rsidRDefault="00B12B14" w:rsidP="00CD2CD1">
      <w:pPr>
        <w:spacing w:line="360" w:lineRule="auto"/>
        <w:ind w:left="720" w:hanging="720"/>
        <w:jc w:val="both"/>
        <w:rPr>
          <w:rFonts w:ascii="Arial" w:hAnsi="Arial" w:cs="Arial"/>
        </w:rPr>
      </w:pPr>
      <w:r w:rsidRPr="00641D44">
        <w:rPr>
          <w:rFonts w:ascii="Arial" w:hAnsi="Arial" w:cs="Arial"/>
        </w:rPr>
        <w:t>6.5</w:t>
      </w:r>
      <w:r w:rsidRPr="00641D44">
        <w:rPr>
          <w:rFonts w:ascii="Arial" w:hAnsi="Arial" w:cs="Arial"/>
        </w:rPr>
        <w:tab/>
      </w:r>
      <w:r w:rsidR="00725AC9" w:rsidRPr="00641D44">
        <w:rPr>
          <w:rFonts w:ascii="Arial" w:hAnsi="Arial" w:cs="Arial"/>
        </w:rPr>
        <w:t>Many volunteers</w:t>
      </w:r>
      <w:r w:rsidR="008B2DE2" w:rsidRPr="00641D44">
        <w:rPr>
          <w:rFonts w:ascii="Arial" w:hAnsi="Arial" w:cs="Arial"/>
        </w:rPr>
        <w:t>, across the Forums,</w:t>
      </w:r>
      <w:r w:rsidR="00725AC9" w:rsidRPr="00641D44">
        <w:rPr>
          <w:rFonts w:ascii="Arial" w:hAnsi="Arial" w:cs="Arial"/>
        </w:rPr>
        <w:t xml:space="preserve"> worked tirelessly </w:t>
      </w:r>
      <w:r w:rsidRPr="00641D44">
        <w:rPr>
          <w:rFonts w:ascii="Arial" w:hAnsi="Arial" w:cs="Arial"/>
        </w:rPr>
        <w:t xml:space="preserve">over many years </w:t>
      </w:r>
      <w:r w:rsidR="00725AC9" w:rsidRPr="00641D44">
        <w:rPr>
          <w:rFonts w:ascii="Arial" w:hAnsi="Arial" w:cs="Arial"/>
        </w:rPr>
        <w:t xml:space="preserve">to prepare the Neighbourhood Plans, often making very significant personal sacrifices. </w:t>
      </w:r>
      <w:r w:rsidR="0024411C" w:rsidRPr="00641D44">
        <w:rPr>
          <w:rFonts w:ascii="Arial" w:hAnsi="Arial" w:cs="Arial"/>
        </w:rPr>
        <w:t xml:space="preserve"> </w:t>
      </w:r>
      <w:r w:rsidR="00725AC9" w:rsidRPr="00641D44">
        <w:rPr>
          <w:rFonts w:ascii="Arial" w:hAnsi="Arial" w:cs="Arial"/>
        </w:rPr>
        <w:t xml:space="preserve">The </w:t>
      </w:r>
      <w:r w:rsidR="008B2DE2" w:rsidRPr="00641D44">
        <w:rPr>
          <w:rFonts w:ascii="Arial" w:hAnsi="Arial" w:cs="Arial"/>
        </w:rPr>
        <w:t>BPNP</w:t>
      </w:r>
      <w:r w:rsidRPr="00641D44">
        <w:rPr>
          <w:rFonts w:ascii="Arial" w:hAnsi="Arial" w:cs="Arial"/>
        </w:rPr>
        <w:t xml:space="preserve"> was supported by an</w:t>
      </w:r>
      <w:r w:rsidR="00725AC9" w:rsidRPr="00641D44">
        <w:rPr>
          <w:rFonts w:ascii="Arial" w:hAnsi="Arial" w:cs="Arial"/>
        </w:rPr>
        <w:t xml:space="preserve"> 88.2% “yes</w:t>
      </w:r>
      <w:r w:rsidRPr="00641D44">
        <w:rPr>
          <w:rFonts w:ascii="Arial" w:hAnsi="Arial" w:cs="Arial"/>
        </w:rPr>
        <w:t>”</w:t>
      </w:r>
      <w:r w:rsidR="00725AC9" w:rsidRPr="00641D44">
        <w:rPr>
          <w:rFonts w:ascii="Arial" w:hAnsi="Arial" w:cs="Arial"/>
        </w:rPr>
        <w:t xml:space="preserve"> vote at referendum in May 2019 and was unanimously endorsed by Full Council in June 2019</w:t>
      </w:r>
      <w:r w:rsidR="0024411C" w:rsidRPr="00641D44">
        <w:rPr>
          <w:rFonts w:ascii="Arial" w:hAnsi="Arial" w:cs="Arial"/>
        </w:rPr>
        <w:t xml:space="preserve">. </w:t>
      </w:r>
    </w:p>
    <w:p w14:paraId="0C2F40B8" w14:textId="77777777" w:rsidR="001363D5" w:rsidRPr="00641D44" w:rsidRDefault="00B12B14" w:rsidP="00CD2CD1">
      <w:pPr>
        <w:spacing w:line="360" w:lineRule="auto"/>
        <w:ind w:left="720" w:hanging="720"/>
        <w:jc w:val="both"/>
        <w:rPr>
          <w:rFonts w:ascii="Arial" w:eastAsia="Times New Roman" w:hAnsi="Arial" w:cs="Arial"/>
          <w:color w:val="000000"/>
          <w:lang w:eastAsia="en-GB"/>
        </w:rPr>
      </w:pPr>
      <w:r w:rsidRPr="00641D44">
        <w:rPr>
          <w:rFonts w:ascii="Arial" w:hAnsi="Arial" w:cs="Arial"/>
        </w:rPr>
        <w:t>6.6</w:t>
      </w:r>
      <w:r w:rsidRPr="00641D44">
        <w:rPr>
          <w:rFonts w:ascii="Arial" w:hAnsi="Arial" w:cs="Arial"/>
        </w:rPr>
        <w:tab/>
      </w:r>
      <w:r w:rsidR="001363D5" w:rsidRPr="00641D44">
        <w:rPr>
          <w:rFonts w:ascii="Arial" w:hAnsi="Arial" w:cs="Arial"/>
        </w:rPr>
        <w:t>The Inglewood proposal conflicts with both the overall strategy of the Neighbourhood P</w:t>
      </w:r>
      <w:r w:rsidR="006F7355" w:rsidRPr="00641D44">
        <w:rPr>
          <w:rFonts w:ascii="Arial" w:hAnsi="Arial" w:cs="Arial"/>
        </w:rPr>
        <w:t xml:space="preserve">lan as well as its specific landscape and settlement boundary and gap policies. </w:t>
      </w:r>
    </w:p>
    <w:p w14:paraId="0BD2995B" w14:textId="77777777" w:rsidR="00B57BAD" w:rsidRPr="00641D44" w:rsidRDefault="008B2DE2" w:rsidP="0072052E">
      <w:pPr>
        <w:spacing w:line="360" w:lineRule="auto"/>
        <w:ind w:left="720"/>
        <w:rPr>
          <w:rFonts w:ascii="Arial" w:hAnsi="Arial" w:cs="Arial"/>
          <w:b/>
        </w:rPr>
      </w:pPr>
      <w:r w:rsidRPr="00641D44">
        <w:rPr>
          <w:rFonts w:ascii="Arial" w:hAnsi="Arial" w:cs="Arial"/>
          <w:b/>
        </w:rPr>
        <w:t>Conflict with the strategic thrust of the Plan</w:t>
      </w:r>
    </w:p>
    <w:p w14:paraId="2951E89D" w14:textId="3B2A29C9" w:rsidR="008B2DE2" w:rsidRPr="00641D44" w:rsidRDefault="00B12B14" w:rsidP="00CD2CD1">
      <w:pPr>
        <w:autoSpaceDE w:val="0"/>
        <w:autoSpaceDN w:val="0"/>
        <w:adjustRightInd w:val="0"/>
        <w:spacing w:after="0" w:line="360" w:lineRule="auto"/>
        <w:ind w:left="720" w:hanging="720"/>
        <w:jc w:val="both"/>
        <w:rPr>
          <w:rFonts w:ascii="Arial" w:hAnsi="Arial" w:cs="Arial"/>
          <w:i/>
          <w:color w:val="000000"/>
        </w:rPr>
      </w:pPr>
      <w:r w:rsidRPr="00641D44">
        <w:rPr>
          <w:rFonts w:ascii="Arial" w:hAnsi="Arial" w:cs="Arial"/>
        </w:rPr>
        <w:t>6.7</w:t>
      </w:r>
      <w:r w:rsidRPr="00641D44">
        <w:rPr>
          <w:rFonts w:ascii="Arial" w:hAnsi="Arial" w:cs="Arial"/>
        </w:rPr>
        <w:tab/>
      </w:r>
      <w:r w:rsidR="00B57BAD" w:rsidRPr="00641D44">
        <w:rPr>
          <w:rFonts w:ascii="Arial" w:hAnsi="Arial" w:cs="Arial"/>
        </w:rPr>
        <w:t xml:space="preserve">The Brixham Peninsula Neighbourhood Plan Group did assess sites </w:t>
      </w:r>
      <w:r w:rsidRPr="00641D44">
        <w:rPr>
          <w:rFonts w:ascii="Arial" w:hAnsi="Arial" w:cs="Arial"/>
        </w:rPr>
        <w:t>for their suitability</w:t>
      </w:r>
      <w:r w:rsidR="00E01128" w:rsidRPr="00641D44">
        <w:rPr>
          <w:rFonts w:ascii="Arial" w:hAnsi="Arial" w:cs="Arial"/>
        </w:rPr>
        <w:t xml:space="preserve">. </w:t>
      </w:r>
      <w:r w:rsidR="00B57BAD" w:rsidRPr="00641D44">
        <w:rPr>
          <w:rFonts w:ascii="Arial" w:hAnsi="Arial" w:cs="Arial"/>
        </w:rPr>
        <w:t xml:space="preserve"> </w:t>
      </w:r>
      <w:r w:rsidR="008B2DE2" w:rsidRPr="00641D44">
        <w:rPr>
          <w:rFonts w:ascii="Arial" w:hAnsi="Arial" w:cs="Arial"/>
          <w:color w:val="000000"/>
        </w:rPr>
        <w:t xml:space="preserve">Land south of White Rock (slightly larger than the current application site) was </w:t>
      </w:r>
      <w:r w:rsidR="008B2DE2" w:rsidRPr="00641D44">
        <w:rPr>
          <w:rFonts w:ascii="Arial" w:hAnsi="Arial" w:cs="Arial"/>
          <w:color w:val="000000"/>
        </w:rPr>
        <w:lastRenderedPageBreak/>
        <w:t>considered in the BPNP Housing Site Assessment (</w:t>
      </w:r>
      <w:r w:rsidR="006F7355" w:rsidRPr="00641D44">
        <w:rPr>
          <w:rFonts w:ascii="Arial" w:hAnsi="Arial" w:cs="Arial"/>
          <w:color w:val="000000"/>
        </w:rPr>
        <w:t>CD</w:t>
      </w:r>
      <w:r w:rsidR="00964964" w:rsidRPr="00641D44">
        <w:rPr>
          <w:rFonts w:ascii="Arial" w:hAnsi="Arial" w:cs="Arial"/>
          <w:color w:val="000000"/>
        </w:rPr>
        <w:t xml:space="preserve">6.6: </w:t>
      </w:r>
      <w:r w:rsidR="008B2DE2" w:rsidRPr="00641D44">
        <w:rPr>
          <w:rFonts w:ascii="Arial" w:hAnsi="Arial" w:cs="Arial"/>
          <w:color w:val="000000"/>
        </w:rPr>
        <w:t xml:space="preserve">H3-R7 pp82-3) but rejected because </w:t>
      </w:r>
      <w:r w:rsidR="008B2DE2" w:rsidRPr="00641D44">
        <w:rPr>
          <w:rFonts w:ascii="Arial" w:hAnsi="Arial" w:cs="Arial"/>
          <w:i/>
          <w:color w:val="000000"/>
        </w:rPr>
        <w:t xml:space="preserve">“(it would be a) major urban encroachment into an area of sweeping farmland which flows into the Dart Valley AONB. There is likely to be a significant ecological impact through development on the scale of this site”.  </w:t>
      </w:r>
    </w:p>
    <w:p w14:paraId="46559D7C" w14:textId="77777777" w:rsidR="008B2DE2" w:rsidRPr="00641D44" w:rsidRDefault="008B2DE2" w:rsidP="00CD2CD1">
      <w:pPr>
        <w:autoSpaceDE w:val="0"/>
        <w:autoSpaceDN w:val="0"/>
        <w:adjustRightInd w:val="0"/>
        <w:spacing w:after="0" w:line="360" w:lineRule="auto"/>
        <w:ind w:left="720" w:hanging="720"/>
        <w:jc w:val="both"/>
        <w:rPr>
          <w:rFonts w:ascii="Arial" w:hAnsi="Arial" w:cs="Arial"/>
          <w:i/>
          <w:color w:val="000000"/>
        </w:rPr>
      </w:pPr>
    </w:p>
    <w:p w14:paraId="5D877EB4" w14:textId="3F5FA34F" w:rsidR="008B2DE2" w:rsidRPr="00641D44" w:rsidRDefault="00B12B14" w:rsidP="00CD2CD1">
      <w:pPr>
        <w:autoSpaceDE w:val="0"/>
        <w:autoSpaceDN w:val="0"/>
        <w:adjustRightInd w:val="0"/>
        <w:spacing w:after="0" w:line="360" w:lineRule="auto"/>
        <w:ind w:left="720" w:hanging="720"/>
        <w:jc w:val="both"/>
        <w:rPr>
          <w:rFonts w:ascii="Arial" w:hAnsi="Arial" w:cs="Arial"/>
        </w:rPr>
      </w:pPr>
      <w:r w:rsidRPr="00641D44">
        <w:rPr>
          <w:rFonts w:ascii="Arial" w:hAnsi="Arial" w:cs="Arial"/>
          <w:color w:val="000000"/>
        </w:rPr>
        <w:t>6</w:t>
      </w:r>
      <w:r w:rsidR="008B2DE2" w:rsidRPr="00641D44">
        <w:rPr>
          <w:rFonts w:ascii="Arial" w:hAnsi="Arial" w:cs="Arial"/>
          <w:color w:val="000000"/>
        </w:rPr>
        <w:t>.</w:t>
      </w:r>
      <w:r w:rsidRPr="00641D44">
        <w:rPr>
          <w:rFonts w:ascii="Arial" w:hAnsi="Arial" w:cs="Arial"/>
          <w:color w:val="000000"/>
        </w:rPr>
        <w:t>8</w:t>
      </w:r>
      <w:r w:rsidR="008B2DE2" w:rsidRPr="00641D44">
        <w:rPr>
          <w:rFonts w:ascii="Arial" w:hAnsi="Arial" w:cs="Arial"/>
          <w:i/>
          <w:color w:val="000000"/>
        </w:rPr>
        <w:tab/>
      </w:r>
      <w:r w:rsidR="00E61008" w:rsidRPr="00641D44">
        <w:rPr>
          <w:rFonts w:ascii="Arial" w:hAnsi="Arial" w:cs="Arial"/>
          <w:color w:val="000000"/>
        </w:rPr>
        <w:t>R</w:t>
      </w:r>
      <w:r w:rsidR="00E61008" w:rsidRPr="00641D44">
        <w:rPr>
          <w:rFonts w:ascii="Arial" w:hAnsi="Arial" w:cs="Arial"/>
        </w:rPr>
        <w:t>epresentations</w:t>
      </w:r>
      <w:r w:rsidR="00B57BAD" w:rsidRPr="00641D44">
        <w:rPr>
          <w:rFonts w:ascii="Arial" w:hAnsi="Arial" w:cs="Arial"/>
        </w:rPr>
        <w:t xml:space="preserve"> from Abacus Deeley Freed for the inclusion of the Inglewood site</w:t>
      </w:r>
      <w:r w:rsidR="008B2DE2" w:rsidRPr="00641D44">
        <w:rPr>
          <w:rFonts w:ascii="Arial" w:hAnsi="Arial" w:cs="Arial"/>
        </w:rPr>
        <w:t xml:space="preserve"> were considered by the Independent Examiner, whose report considered that the BPNP m</w:t>
      </w:r>
      <w:r w:rsidR="00E01128" w:rsidRPr="00641D44">
        <w:rPr>
          <w:rFonts w:ascii="Arial" w:hAnsi="Arial" w:cs="Arial"/>
        </w:rPr>
        <w:t>et th</w:t>
      </w:r>
      <w:r w:rsidR="008B2DE2" w:rsidRPr="00641D44">
        <w:rPr>
          <w:rFonts w:ascii="Arial" w:hAnsi="Arial" w:cs="Arial"/>
        </w:rPr>
        <w:t>e “</w:t>
      </w:r>
      <w:r w:rsidR="00AA49BB" w:rsidRPr="00641D44">
        <w:rPr>
          <w:rFonts w:ascii="Arial" w:hAnsi="Arial" w:cs="Arial"/>
        </w:rPr>
        <w:t>b</w:t>
      </w:r>
      <w:r w:rsidR="008B2DE2" w:rsidRPr="00641D44">
        <w:rPr>
          <w:rFonts w:ascii="Arial" w:hAnsi="Arial" w:cs="Arial"/>
        </w:rPr>
        <w:t>asic conditions” without its inclusion</w:t>
      </w:r>
      <w:r w:rsidR="00AA49BB" w:rsidRPr="00641D44">
        <w:rPr>
          <w:rFonts w:ascii="Arial" w:hAnsi="Arial" w:cs="Arial"/>
        </w:rPr>
        <w:t xml:space="preserve">. </w:t>
      </w:r>
    </w:p>
    <w:p w14:paraId="3214A55F" w14:textId="77777777" w:rsidR="008B2DE2" w:rsidRPr="00641D44" w:rsidRDefault="008B2DE2" w:rsidP="0072052E">
      <w:pPr>
        <w:autoSpaceDE w:val="0"/>
        <w:autoSpaceDN w:val="0"/>
        <w:adjustRightInd w:val="0"/>
        <w:spacing w:after="0" w:line="360" w:lineRule="auto"/>
        <w:ind w:left="720" w:hanging="720"/>
        <w:rPr>
          <w:rFonts w:ascii="Arial" w:hAnsi="Arial" w:cs="Arial"/>
        </w:rPr>
      </w:pPr>
    </w:p>
    <w:p w14:paraId="5D18E927" w14:textId="2AE15177" w:rsidR="00D11116" w:rsidRPr="00641D44" w:rsidRDefault="00B12B14" w:rsidP="003E179C">
      <w:pPr>
        <w:autoSpaceDE w:val="0"/>
        <w:autoSpaceDN w:val="0"/>
        <w:adjustRightInd w:val="0"/>
        <w:spacing w:after="0" w:line="360" w:lineRule="auto"/>
        <w:ind w:left="720" w:hanging="720"/>
        <w:jc w:val="both"/>
        <w:rPr>
          <w:rFonts w:ascii="Arial" w:eastAsia="Times New Roman" w:hAnsi="Arial" w:cs="Arial"/>
          <w:color w:val="000000"/>
          <w:lang w:eastAsia="en-GB"/>
        </w:rPr>
      </w:pPr>
      <w:r w:rsidRPr="00641D44">
        <w:rPr>
          <w:rFonts w:ascii="Arial" w:hAnsi="Arial" w:cs="Arial"/>
        </w:rPr>
        <w:t>6</w:t>
      </w:r>
      <w:r w:rsidR="008B2DE2" w:rsidRPr="00641D44">
        <w:rPr>
          <w:rFonts w:ascii="Arial" w:hAnsi="Arial" w:cs="Arial"/>
        </w:rPr>
        <w:t>.</w:t>
      </w:r>
      <w:r w:rsidRPr="00641D44">
        <w:rPr>
          <w:rFonts w:ascii="Arial" w:hAnsi="Arial" w:cs="Arial"/>
        </w:rPr>
        <w:t>9</w:t>
      </w:r>
      <w:r w:rsidR="008B2DE2" w:rsidRPr="00641D44">
        <w:rPr>
          <w:rFonts w:ascii="Arial" w:hAnsi="Arial" w:cs="Arial"/>
        </w:rPr>
        <w:tab/>
      </w:r>
      <w:r w:rsidR="00D11116" w:rsidRPr="00641D44">
        <w:rPr>
          <w:rFonts w:ascii="Arial" w:hAnsi="Arial" w:cs="Arial"/>
        </w:rPr>
        <w:t>The Inglewood proposal significantly exceeds the level of growth anticipated in the development plan</w:t>
      </w:r>
      <w:r w:rsidR="00964964" w:rsidRPr="00641D44">
        <w:rPr>
          <w:rFonts w:ascii="Arial" w:hAnsi="Arial" w:cs="Arial"/>
        </w:rPr>
        <w:t xml:space="preserve"> for the Brixham Peninsula</w:t>
      </w:r>
      <w:r w:rsidRPr="00641D44">
        <w:rPr>
          <w:rFonts w:ascii="Arial" w:hAnsi="Arial" w:cs="Arial"/>
        </w:rPr>
        <w:t>,</w:t>
      </w:r>
      <w:r w:rsidR="00D11116" w:rsidRPr="00641D44">
        <w:rPr>
          <w:rFonts w:ascii="Arial" w:eastAsia="Times New Roman" w:hAnsi="Arial" w:cs="Arial"/>
          <w:color w:val="000000"/>
          <w:lang w:eastAsia="en-GB"/>
        </w:rPr>
        <w:t xml:space="preserve"> accounting for </w:t>
      </w:r>
      <w:r w:rsidR="00E01128" w:rsidRPr="00641D44">
        <w:rPr>
          <w:rFonts w:ascii="Arial" w:eastAsia="Times New Roman" w:hAnsi="Arial" w:cs="Arial"/>
          <w:color w:val="000000"/>
          <w:lang w:eastAsia="en-GB"/>
        </w:rPr>
        <w:t xml:space="preserve">nearly </w:t>
      </w:r>
      <w:r w:rsidRPr="00641D44">
        <w:rPr>
          <w:rFonts w:ascii="Arial" w:eastAsia="Times New Roman" w:hAnsi="Arial" w:cs="Arial"/>
          <w:color w:val="000000"/>
          <w:lang w:eastAsia="en-GB"/>
        </w:rPr>
        <w:t xml:space="preserve">60% of </w:t>
      </w:r>
      <w:r w:rsidR="00964964" w:rsidRPr="00641D44">
        <w:rPr>
          <w:rFonts w:ascii="Arial" w:eastAsia="Times New Roman" w:hAnsi="Arial" w:cs="Arial"/>
          <w:color w:val="000000"/>
          <w:lang w:eastAsia="en-GB"/>
        </w:rPr>
        <w:t>its</w:t>
      </w:r>
      <w:r w:rsidRPr="00641D44">
        <w:rPr>
          <w:rFonts w:ascii="Arial" w:eastAsia="Times New Roman" w:hAnsi="Arial" w:cs="Arial"/>
          <w:color w:val="000000"/>
          <w:lang w:eastAsia="en-GB"/>
        </w:rPr>
        <w:t xml:space="preserve"> </w:t>
      </w:r>
      <w:r w:rsidR="00D11116" w:rsidRPr="00641D44">
        <w:rPr>
          <w:rFonts w:ascii="Arial" w:eastAsia="Times New Roman" w:hAnsi="Arial" w:cs="Arial"/>
          <w:color w:val="000000"/>
          <w:lang w:eastAsia="en-GB"/>
        </w:rPr>
        <w:t xml:space="preserve">entire requirement </w:t>
      </w:r>
      <w:proofErr w:type="gramStart"/>
      <w:r w:rsidR="00D11116" w:rsidRPr="00641D44">
        <w:rPr>
          <w:rFonts w:ascii="Arial" w:eastAsia="Times New Roman" w:hAnsi="Arial" w:cs="Arial"/>
          <w:color w:val="000000"/>
          <w:lang w:eastAsia="en-GB"/>
        </w:rPr>
        <w:t>between 2012-2030</w:t>
      </w:r>
      <w:proofErr w:type="gramEnd"/>
      <w:r w:rsidR="00D11116" w:rsidRPr="00641D44">
        <w:rPr>
          <w:rFonts w:ascii="Arial" w:hAnsi="Arial" w:cs="Arial"/>
        </w:rPr>
        <w:t xml:space="preserve">.  </w:t>
      </w:r>
      <w:r w:rsidRPr="00641D44">
        <w:rPr>
          <w:rFonts w:ascii="Arial" w:eastAsia="Times New Roman" w:hAnsi="Arial" w:cs="Arial"/>
          <w:color w:val="000000"/>
          <w:lang w:eastAsia="en-GB"/>
        </w:rPr>
        <w:t xml:space="preserve">This would represent a </w:t>
      </w:r>
      <w:r w:rsidR="00D11116" w:rsidRPr="00641D44">
        <w:rPr>
          <w:rFonts w:ascii="Arial" w:eastAsia="Times New Roman" w:hAnsi="Arial" w:cs="Arial"/>
          <w:color w:val="000000"/>
          <w:lang w:eastAsia="en-GB"/>
        </w:rPr>
        <w:t xml:space="preserve">major addition to the </w:t>
      </w:r>
      <w:r w:rsidR="003E179C" w:rsidRPr="00641D44">
        <w:rPr>
          <w:rFonts w:ascii="Arial" w:eastAsia="Times New Roman" w:hAnsi="Arial" w:cs="Arial"/>
          <w:color w:val="000000"/>
          <w:lang w:eastAsia="en-GB"/>
        </w:rPr>
        <w:t>BPNP’s</w:t>
      </w:r>
      <w:r w:rsidR="00D11116" w:rsidRPr="00641D44">
        <w:rPr>
          <w:rFonts w:ascii="Arial" w:eastAsia="Times New Roman" w:hAnsi="Arial" w:cs="Arial"/>
          <w:color w:val="000000"/>
          <w:lang w:eastAsia="en-GB"/>
        </w:rPr>
        <w:t xml:space="preserve"> housing requirement of 660 dwellin</w:t>
      </w:r>
      <w:r w:rsidRPr="00641D44">
        <w:rPr>
          <w:rFonts w:ascii="Arial" w:eastAsia="Times New Roman" w:hAnsi="Arial" w:cs="Arial"/>
          <w:color w:val="000000"/>
          <w:lang w:eastAsia="en-GB"/>
        </w:rPr>
        <w:t xml:space="preserve">gs. </w:t>
      </w:r>
    </w:p>
    <w:p w14:paraId="1FB56D7D" w14:textId="77777777" w:rsidR="00D11116" w:rsidRPr="00641D44" w:rsidRDefault="00D11116" w:rsidP="0072052E">
      <w:pPr>
        <w:autoSpaceDE w:val="0"/>
        <w:autoSpaceDN w:val="0"/>
        <w:adjustRightInd w:val="0"/>
        <w:spacing w:after="0" w:line="360" w:lineRule="auto"/>
        <w:ind w:left="720" w:hanging="720"/>
        <w:rPr>
          <w:rFonts w:ascii="Arial" w:eastAsia="Times New Roman" w:hAnsi="Arial" w:cs="Arial"/>
          <w:color w:val="000000"/>
          <w:lang w:eastAsia="en-GB"/>
        </w:rPr>
      </w:pPr>
    </w:p>
    <w:p w14:paraId="0E36129B" w14:textId="77777777" w:rsidR="006F7355" w:rsidRPr="00641D44" w:rsidRDefault="00B12B14" w:rsidP="003E179C">
      <w:pPr>
        <w:autoSpaceDE w:val="0"/>
        <w:autoSpaceDN w:val="0"/>
        <w:adjustRightInd w:val="0"/>
        <w:spacing w:after="0" w:line="360" w:lineRule="auto"/>
        <w:ind w:left="720" w:hanging="720"/>
        <w:jc w:val="both"/>
        <w:rPr>
          <w:rFonts w:ascii="Arial" w:hAnsi="Arial" w:cs="Arial"/>
        </w:rPr>
      </w:pPr>
      <w:r w:rsidRPr="00641D44">
        <w:rPr>
          <w:rFonts w:ascii="Arial" w:eastAsia="Times New Roman" w:hAnsi="Arial" w:cs="Arial"/>
          <w:color w:val="000000"/>
          <w:lang w:eastAsia="en-GB"/>
        </w:rPr>
        <w:t>6</w:t>
      </w:r>
      <w:r w:rsidR="00D11116" w:rsidRPr="00641D44">
        <w:rPr>
          <w:rFonts w:ascii="Arial" w:eastAsia="Times New Roman" w:hAnsi="Arial" w:cs="Arial"/>
          <w:color w:val="000000"/>
          <w:lang w:eastAsia="en-GB"/>
        </w:rPr>
        <w:t>.</w:t>
      </w:r>
      <w:r w:rsidRPr="00641D44">
        <w:rPr>
          <w:rFonts w:ascii="Arial" w:eastAsia="Times New Roman" w:hAnsi="Arial" w:cs="Arial"/>
          <w:color w:val="000000"/>
          <w:lang w:eastAsia="en-GB"/>
        </w:rPr>
        <w:t>10</w:t>
      </w:r>
      <w:r w:rsidR="00D11116" w:rsidRPr="00641D44">
        <w:rPr>
          <w:rFonts w:ascii="Arial" w:eastAsia="Times New Roman" w:hAnsi="Arial" w:cs="Arial"/>
          <w:color w:val="000000"/>
          <w:lang w:eastAsia="en-GB"/>
        </w:rPr>
        <w:tab/>
        <w:t xml:space="preserve">The proposal for a </w:t>
      </w:r>
      <w:proofErr w:type="gramStart"/>
      <w:r w:rsidR="00D11116" w:rsidRPr="00641D44">
        <w:rPr>
          <w:rFonts w:ascii="Arial" w:eastAsia="Times New Roman" w:hAnsi="Arial" w:cs="Arial"/>
          <w:color w:val="000000"/>
          <w:lang w:eastAsia="en-GB"/>
        </w:rPr>
        <w:t>greenfield</w:t>
      </w:r>
      <w:proofErr w:type="gramEnd"/>
      <w:r w:rsidR="00D11116" w:rsidRPr="00641D44">
        <w:rPr>
          <w:rFonts w:ascii="Arial" w:eastAsia="Times New Roman" w:hAnsi="Arial" w:cs="Arial"/>
          <w:color w:val="000000"/>
          <w:lang w:eastAsia="en-GB"/>
        </w:rPr>
        <w:t xml:space="preserve"> development outside of any defined settlement is a major deviation from </w:t>
      </w:r>
      <w:r w:rsidR="00D11116" w:rsidRPr="00641D44">
        <w:rPr>
          <w:rFonts w:ascii="Arial" w:hAnsi="Arial" w:cs="Arial"/>
        </w:rPr>
        <w:t xml:space="preserve">the Neighbourhood Plan’s strategy of focussing growth of brownfield sites, largely within the town of Brixham rather than the more rural hinterland.  This </w:t>
      </w:r>
      <w:r w:rsidRPr="00641D44">
        <w:rPr>
          <w:rFonts w:ascii="Arial" w:hAnsi="Arial" w:cs="Arial"/>
        </w:rPr>
        <w:t>approach</w:t>
      </w:r>
      <w:r w:rsidR="00D11116" w:rsidRPr="00641D44">
        <w:rPr>
          <w:rFonts w:ascii="Arial" w:hAnsi="Arial" w:cs="Arial"/>
        </w:rPr>
        <w:t xml:space="preserve"> is set out </w:t>
      </w:r>
      <w:r w:rsidRPr="00641D44">
        <w:rPr>
          <w:rFonts w:ascii="Arial" w:hAnsi="Arial" w:cs="Arial"/>
        </w:rPr>
        <w:t xml:space="preserve">with admirable clarity in </w:t>
      </w:r>
      <w:r w:rsidR="00D11116" w:rsidRPr="00641D44">
        <w:rPr>
          <w:rFonts w:ascii="Arial" w:hAnsi="Arial" w:cs="Arial"/>
        </w:rPr>
        <w:t xml:space="preserve">Policies BH3 and BH4 </w:t>
      </w:r>
      <w:r w:rsidR="00D11116" w:rsidRPr="00641D44">
        <w:rPr>
          <w:rFonts w:ascii="Arial" w:eastAsia="Times New Roman" w:hAnsi="Arial" w:cs="Arial"/>
          <w:color w:val="000000"/>
          <w:lang w:eastAsia="en-GB"/>
        </w:rPr>
        <w:t xml:space="preserve">and BH9 </w:t>
      </w:r>
      <w:r w:rsidR="00D11116" w:rsidRPr="00641D44">
        <w:rPr>
          <w:rFonts w:ascii="Arial" w:hAnsi="Arial" w:cs="Arial"/>
        </w:rPr>
        <w:t>and supporti</w:t>
      </w:r>
      <w:r w:rsidRPr="00641D44">
        <w:rPr>
          <w:rFonts w:ascii="Arial" w:hAnsi="Arial" w:cs="Arial"/>
        </w:rPr>
        <w:t>ng text paragraphs 2.3 and 4.10</w:t>
      </w:r>
      <w:r w:rsidR="00D11116" w:rsidRPr="00641D44">
        <w:rPr>
          <w:rFonts w:ascii="Arial" w:hAnsi="Arial" w:cs="Arial"/>
        </w:rPr>
        <w:t xml:space="preserve">. </w:t>
      </w:r>
    </w:p>
    <w:p w14:paraId="4B746EA5" w14:textId="77777777" w:rsidR="006F7355" w:rsidRPr="00641D44" w:rsidRDefault="006F7355" w:rsidP="003E179C">
      <w:pPr>
        <w:autoSpaceDE w:val="0"/>
        <w:autoSpaceDN w:val="0"/>
        <w:adjustRightInd w:val="0"/>
        <w:spacing w:after="0" w:line="360" w:lineRule="auto"/>
        <w:ind w:left="720" w:hanging="720"/>
        <w:jc w:val="both"/>
        <w:rPr>
          <w:rFonts w:ascii="Arial" w:hAnsi="Arial" w:cs="Arial"/>
        </w:rPr>
      </w:pPr>
    </w:p>
    <w:p w14:paraId="4CC57B78" w14:textId="77777777" w:rsidR="008B2DE2" w:rsidRPr="00641D44" w:rsidRDefault="00B12B14" w:rsidP="003E179C">
      <w:pPr>
        <w:autoSpaceDE w:val="0"/>
        <w:autoSpaceDN w:val="0"/>
        <w:adjustRightInd w:val="0"/>
        <w:spacing w:after="0" w:line="360" w:lineRule="auto"/>
        <w:ind w:left="720" w:hanging="720"/>
        <w:jc w:val="both"/>
        <w:rPr>
          <w:rFonts w:ascii="Arial" w:hAnsi="Arial" w:cs="Arial"/>
        </w:rPr>
      </w:pPr>
      <w:r w:rsidRPr="00641D44">
        <w:rPr>
          <w:rFonts w:ascii="Arial" w:hAnsi="Arial" w:cs="Arial"/>
        </w:rPr>
        <w:t>6.11</w:t>
      </w:r>
      <w:r w:rsidRPr="00641D44">
        <w:rPr>
          <w:rFonts w:ascii="Arial" w:hAnsi="Arial" w:cs="Arial"/>
        </w:rPr>
        <w:tab/>
      </w:r>
      <w:r w:rsidR="00E01128" w:rsidRPr="00641D44">
        <w:rPr>
          <w:rFonts w:ascii="Arial" w:hAnsi="Arial" w:cs="Arial"/>
        </w:rPr>
        <w:t>It was arguably open for Brixham Town Council as the qualifying body to avoid difficult decisions within the town by allocating the most of its growth needs on the Inglewood site</w:t>
      </w:r>
      <w:r w:rsidR="006F7355" w:rsidRPr="00641D44">
        <w:rPr>
          <w:rFonts w:ascii="Arial" w:hAnsi="Arial" w:cs="Arial"/>
        </w:rPr>
        <w:t xml:space="preserve">. </w:t>
      </w:r>
      <w:r w:rsidRPr="00641D44">
        <w:rPr>
          <w:rFonts w:ascii="Arial" w:hAnsi="Arial" w:cs="Arial"/>
        </w:rPr>
        <w:t xml:space="preserve"> </w:t>
      </w:r>
      <w:r w:rsidR="006F7355" w:rsidRPr="00641D44">
        <w:rPr>
          <w:rFonts w:ascii="Arial" w:hAnsi="Arial" w:cs="Arial"/>
        </w:rPr>
        <w:t>As set out above, the 2017 LDS could be seen as a nod in this direction.  B</w:t>
      </w:r>
      <w:r w:rsidR="00E01128" w:rsidRPr="00641D44">
        <w:rPr>
          <w:rFonts w:ascii="Arial" w:hAnsi="Arial" w:cs="Arial"/>
        </w:rPr>
        <w:t>ut they chose not to do so in favour of a regeneration focussed approach</w:t>
      </w:r>
      <w:r w:rsidRPr="00641D44">
        <w:rPr>
          <w:rFonts w:ascii="Arial" w:hAnsi="Arial" w:cs="Arial"/>
        </w:rPr>
        <w:t xml:space="preserve"> aimed at revitalising the town centre whilst safeguarding the rural hinterland</w:t>
      </w:r>
      <w:r w:rsidR="00E01128" w:rsidRPr="00641D44">
        <w:rPr>
          <w:rFonts w:ascii="Arial" w:hAnsi="Arial" w:cs="Arial"/>
        </w:rPr>
        <w:t xml:space="preserve">. </w:t>
      </w:r>
    </w:p>
    <w:p w14:paraId="4F1E8807" w14:textId="77777777" w:rsidR="008B2DE2" w:rsidRPr="00641D44" w:rsidRDefault="008B2DE2" w:rsidP="003E179C">
      <w:pPr>
        <w:autoSpaceDE w:val="0"/>
        <w:autoSpaceDN w:val="0"/>
        <w:adjustRightInd w:val="0"/>
        <w:spacing w:after="0" w:line="360" w:lineRule="auto"/>
        <w:ind w:left="720" w:hanging="720"/>
        <w:jc w:val="both"/>
        <w:rPr>
          <w:rFonts w:ascii="Arial" w:hAnsi="Arial" w:cs="Arial"/>
        </w:rPr>
      </w:pPr>
    </w:p>
    <w:p w14:paraId="615561C9" w14:textId="77777777" w:rsidR="00E61008" w:rsidRPr="00641D44" w:rsidRDefault="00B523A5" w:rsidP="003E179C">
      <w:pPr>
        <w:autoSpaceDE w:val="0"/>
        <w:autoSpaceDN w:val="0"/>
        <w:adjustRightInd w:val="0"/>
        <w:spacing w:after="0" w:line="360" w:lineRule="auto"/>
        <w:ind w:left="720" w:hanging="720"/>
        <w:jc w:val="both"/>
        <w:rPr>
          <w:rFonts w:ascii="Arial" w:hAnsi="Arial" w:cs="Arial"/>
        </w:rPr>
      </w:pPr>
      <w:r w:rsidRPr="00641D44">
        <w:rPr>
          <w:rFonts w:ascii="Arial" w:hAnsi="Arial" w:cs="Arial"/>
        </w:rPr>
        <w:t>6</w:t>
      </w:r>
      <w:r w:rsidR="00E61008" w:rsidRPr="00641D44">
        <w:rPr>
          <w:rFonts w:ascii="Arial" w:hAnsi="Arial" w:cs="Arial"/>
        </w:rPr>
        <w:t>.1</w:t>
      </w:r>
      <w:r w:rsidRPr="00641D44">
        <w:rPr>
          <w:rFonts w:ascii="Arial" w:hAnsi="Arial" w:cs="Arial"/>
        </w:rPr>
        <w:t>2</w:t>
      </w:r>
      <w:r w:rsidR="00E61008" w:rsidRPr="00641D44">
        <w:rPr>
          <w:rFonts w:ascii="Arial" w:hAnsi="Arial" w:cs="Arial"/>
        </w:rPr>
        <w:tab/>
      </w:r>
      <w:r w:rsidR="00D7234B" w:rsidRPr="00641D44">
        <w:rPr>
          <w:rFonts w:ascii="Arial" w:eastAsia="Times New Roman" w:hAnsi="Arial" w:cs="Arial"/>
          <w:color w:val="000000"/>
          <w:lang w:eastAsia="en-GB"/>
        </w:rPr>
        <w:t>Brixham Town Council, the Neighbourhood Plan subgroup</w:t>
      </w:r>
      <w:r w:rsidR="00B17AE4" w:rsidRPr="00641D44">
        <w:rPr>
          <w:rFonts w:ascii="Arial" w:eastAsia="Times New Roman" w:hAnsi="Arial" w:cs="Arial"/>
          <w:color w:val="000000"/>
          <w:lang w:eastAsia="en-GB"/>
        </w:rPr>
        <w:t>,</w:t>
      </w:r>
      <w:r w:rsidR="00D7234B" w:rsidRPr="00641D44">
        <w:rPr>
          <w:rFonts w:ascii="Arial" w:eastAsia="Times New Roman" w:hAnsi="Arial" w:cs="Arial"/>
          <w:color w:val="000000"/>
          <w:lang w:eastAsia="en-GB"/>
        </w:rPr>
        <w:t xml:space="preserve"> Paignton Neighbourhood Forum, as well as the neighbouring parish councils are all objectors to the scheme</w:t>
      </w:r>
      <w:r w:rsidR="003E179C" w:rsidRPr="00641D44">
        <w:rPr>
          <w:rFonts w:ascii="Arial" w:eastAsia="Times New Roman" w:hAnsi="Arial" w:cs="Arial"/>
          <w:color w:val="000000"/>
          <w:lang w:eastAsia="en-GB"/>
        </w:rPr>
        <w:t>, as is South Hams District Council</w:t>
      </w:r>
      <w:r w:rsidR="00B12B14" w:rsidRPr="00641D44">
        <w:rPr>
          <w:rFonts w:ascii="Arial" w:eastAsia="Times New Roman" w:hAnsi="Arial" w:cs="Arial"/>
          <w:color w:val="000000"/>
          <w:lang w:eastAsia="en-GB"/>
        </w:rPr>
        <w:t xml:space="preserve">.  </w:t>
      </w:r>
      <w:r w:rsidR="006F7355" w:rsidRPr="00641D44">
        <w:rPr>
          <w:rFonts w:ascii="Arial" w:eastAsia="Times New Roman" w:hAnsi="Arial" w:cs="Arial"/>
          <w:color w:val="000000"/>
          <w:lang w:eastAsia="en-GB"/>
        </w:rPr>
        <w:t xml:space="preserve"> T</w:t>
      </w:r>
      <w:r w:rsidR="00D7234B" w:rsidRPr="00641D44">
        <w:rPr>
          <w:rFonts w:ascii="Arial" w:eastAsia="Times New Roman" w:hAnsi="Arial" w:cs="Arial"/>
          <w:color w:val="000000"/>
          <w:lang w:eastAsia="en-GB"/>
        </w:rPr>
        <w:t>he objection that the proposal would undermine the Neighbourhood Plan and principle of localism is echoed by many other objections.</w:t>
      </w:r>
    </w:p>
    <w:p w14:paraId="239555C8" w14:textId="77777777" w:rsidR="00E61008" w:rsidRPr="00641D44" w:rsidRDefault="00E61008" w:rsidP="0072052E">
      <w:pPr>
        <w:autoSpaceDE w:val="0"/>
        <w:autoSpaceDN w:val="0"/>
        <w:adjustRightInd w:val="0"/>
        <w:spacing w:after="0" w:line="360" w:lineRule="auto"/>
        <w:ind w:left="720" w:hanging="720"/>
        <w:rPr>
          <w:rFonts w:ascii="Arial" w:hAnsi="Arial" w:cs="Arial"/>
        </w:rPr>
      </w:pPr>
    </w:p>
    <w:p w14:paraId="33089381" w14:textId="77777777" w:rsidR="008B2DE2" w:rsidRPr="00641D44" w:rsidRDefault="00D11116" w:rsidP="0072052E">
      <w:pPr>
        <w:spacing w:line="360" w:lineRule="auto"/>
        <w:ind w:left="720" w:hanging="720"/>
        <w:rPr>
          <w:rFonts w:ascii="Arial" w:hAnsi="Arial" w:cs="Arial"/>
          <w:b/>
        </w:rPr>
      </w:pPr>
      <w:r w:rsidRPr="00641D44">
        <w:rPr>
          <w:rFonts w:ascii="Arial" w:hAnsi="Arial" w:cs="Arial"/>
          <w:b/>
        </w:rPr>
        <w:tab/>
        <w:t xml:space="preserve">Conflict with the BPNP’s Landscape and settlement Gap Policies </w:t>
      </w:r>
    </w:p>
    <w:p w14:paraId="6B0F7807" w14:textId="3DCE1621" w:rsidR="008B2DE2" w:rsidRPr="00641D44" w:rsidRDefault="00B523A5" w:rsidP="00136ED5">
      <w:pPr>
        <w:spacing w:line="360" w:lineRule="auto"/>
        <w:ind w:left="720" w:hanging="720"/>
        <w:jc w:val="both"/>
        <w:rPr>
          <w:rFonts w:ascii="Arial" w:hAnsi="Arial" w:cs="Arial"/>
        </w:rPr>
      </w:pPr>
      <w:r w:rsidRPr="00641D44">
        <w:rPr>
          <w:rFonts w:ascii="Arial" w:hAnsi="Arial" w:cs="Arial"/>
          <w:color w:val="000000"/>
        </w:rPr>
        <w:t>6</w:t>
      </w:r>
      <w:r w:rsidR="00D11116" w:rsidRPr="00641D44">
        <w:rPr>
          <w:rFonts w:ascii="Arial" w:hAnsi="Arial" w:cs="Arial"/>
          <w:color w:val="000000"/>
        </w:rPr>
        <w:t>.1</w:t>
      </w:r>
      <w:r w:rsidRPr="00641D44">
        <w:rPr>
          <w:rFonts w:ascii="Arial" w:hAnsi="Arial" w:cs="Arial"/>
          <w:color w:val="000000"/>
        </w:rPr>
        <w:t>3</w:t>
      </w:r>
      <w:r w:rsidR="00D11116" w:rsidRPr="00641D44">
        <w:rPr>
          <w:rFonts w:ascii="Arial" w:hAnsi="Arial" w:cs="Arial"/>
          <w:color w:val="000000"/>
        </w:rPr>
        <w:tab/>
        <w:t>Policy E3 of the Neighbourhood Plan designates a Settlement Gap across a substantial part of the Inglewood site, where “</w:t>
      </w:r>
      <w:r w:rsidR="00D11116" w:rsidRPr="00641D44">
        <w:rPr>
          <w:rFonts w:ascii="Arial" w:hAnsi="Arial" w:cs="Arial"/>
          <w:i/>
          <w:color w:val="000000"/>
        </w:rPr>
        <w:t>No development that visually or actually closes the gap between…urban areas will be supported.</w:t>
      </w:r>
      <w:r w:rsidR="00D11116" w:rsidRPr="00641D44">
        <w:rPr>
          <w:rFonts w:ascii="Arial" w:hAnsi="Arial" w:cs="Arial"/>
          <w:color w:val="000000"/>
        </w:rPr>
        <w:t xml:space="preserve">  E3.1 View point 1 (p103</w:t>
      </w:r>
      <w:r w:rsidR="00294F33" w:rsidRPr="00641D44">
        <w:rPr>
          <w:rFonts w:ascii="Arial" w:hAnsi="Arial" w:cs="Arial"/>
          <w:color w:val="000000"/>
        </w:rPr>
        <w:t>) shows</w:t>
      </w:r>
      <w:r w:rsidR="00D11116" w:rsidRPr="00641D44">
        <w:rPr>
          <w:rFonts w:ascii="Arial" w:hAnsi="Arial" w:cs="Arial"/>
          <w:color w:val="000000"/>
        </w:rPr>
        <w:t xml:space="preserve"> a vista across </w:t>
      </w:r>
      <w:r w:rsidRPr="00641D44">
        <w:rPr>
          <w:rFonts w:ascii="Arial" w:hAnsi="Arial" w:cs="Arial"/>
          <w:color w:val="000000"/>
        </w:rPr>
        <w:t xml:space="preserve">the </w:t>
      </w:r>
      <w:r w:rsidR="00D11116" w:rsidRPr="00641D44">
        <w:rPr>
          <w:rFonts w:ascii="Arial" w:hAnsi="Arial" w:cs="Arial"/>
          <w:color w:val="000000"/>
        </w:rPr>
        <w:t xml:space="preserve">application site towards the South Devon AONB.  Policy E6 </w:t>
      </w:r>
      <w:r w:rsidR="00D11116" w:rsidRPr="00641D44">
        <w:rPr>
          <w:rFonts w:ascii="Arial" w:hAnsi="Arial" w:cs="Arial"/>
          <w:color w:val="000000"/>
        </w:rPr>
        <w:lastRenderedPageBreak/>
        <w:t>seeks to safeguard views and vistas, including those to the River Dart</w:t>
      </w:r>
      <w:r w:rsidR="00B17AE4" w:rsidRPr="00641D44">
        <w:rPr>
          <w:rFonts w:ascii="Arial" w:hAnsi="Arial" w:cs="Arial"/>
          <w:color w:val="000000"/>
        </w:rPr>
        <w:t>.</w:t>
      </w:r>
      <w:r w:rsidR="00D11116" w:rsidRPr="00641D44">
        <w:rPr>
          <w:rFonts w:ascii="Arial" w:hAnsi="Arial" w:cs="Arial"/>
          <w:color w:val="000000"/>
        </w:rPr>
        <w:t xml:space="preserve">  </w:t>
      </w:r>
      <w:r w:rsidR="00577AB7" w:rsidRPr="00641D44">
        <w:rPr>
          <w:rFonts w:ascii="Arial" w:hAnsi="Arial" w:cs="Arial"/>
          <w:color w:val="000000"/>
        </w:rPr>
        <w:t xml:space="preserve"> </w:t>
      </w:r>
      <w:r w:rsidR="00577AB7" w:rsidRPr="00641D44">
        <w:rPr>
          <w:rFonts w:ascii="Arial" w:hAnsi="Arial" w:cs="Arial"/>
        </w:rPr>
        <w:t>Paragraph 5.23 of the BPNP defines the purpose of settlement gaps, which include (protecting) “</w:t>
      </w:r>
      <w:r w:rsidR="00577AB7" w:rsidRPr="00641D44">
        <w:rPr>
          <w:rFonts w:ascii="Arial" w:hAnsi="Arial" w:cs="Arial"/>
          <w:i/>
        </w:rPr>
        <w:t xml:space="preserve">an open characteristic to the area which draws in views of distant landscapes, separation which prevents coalescence and the merging of settlements…” </w:t>
      </w:r>
      <w:r w:rsidR="00577AB7" w:rsidRPr="00641D44">
        <w:rPr>
          <w:rFonts w:ascii="Arial" w:hAnsi="Arial" w:cs="Arial"/>
        </w:rPr>
        <w:t>Paragraph 2.4 sets the BPNP’s rationale in designating settlement gaps.</w:t>
      </w:r>
    </w:p>
    <w:p w14:paraId="4B7C9F46" w14:textId="5AC223E5" w:rsidR="00D11116" w:rsidRPr="00641D44" w:rsidRDefault="00B523A5" w:rsidP="003E179C">
      <w:pPr>
        <w:spacing w:line="360" w:lineRule="auto"/>
        <w:ind w:left="720" w:hanging="720"/>
        <w:jc w:val="both"/>
        <w:rPr>
          <w:rFonts w:ascii="Arial" w:hAnsi="Arial" w:cs="Arial"/>
        </w:rPr>
      </w:pPr>
      <w:r w:rsidRPr="00641D44">
        <w:rPr>
          <w:rFonts w:ascii="Arial" w:hAnsi="Arial" w:cs="Arial"/>
        </w:rPr>
        <w:t>6</w:t>
      </w:r>
      <w:r w:rsidR="00E61008" w:rsidRPr="00641D44">
        <w:rPr>
          <w:rFonts w:ascii="Arial" w:hAnsi="Arial" w:cs="Arial"/>
        </w:rPr>
        <w:t>.1</w:t>
      </w:r>
      <w:r w:rsidRPr="00641D44">
        <w:rPr>
          <w:rFonts w:ascii="Arial" w:hAnsi="Arial" w:cs="Arial"/>
        </w:rPr>
        <w:t>4</w:t>
      </w:r>
      <w:r w:rsidR="00E61008" w:rsidRPr="00641D44">
        <w:rPr>
          <w:rFonts w:ascii="Arial" w:hAnsi="Arial" w:cs="Arial"/>
        </w:rPr>
        <w:tab/>
        <w:t>T</w:t>
      </w:r>
      <w:r w:rsidR="00D11116" w:rsidRPr="00641D44">
        <w:rPr>
          <w:rFonts w:ascii="Arial" w:hAnsi="Arial" w:cs="Arial"/>
        </w:rPr>
        <w:t xml:space="preserve">he fields to the south </w:t>
      </w:r>
      <w:r w:rsidR="00B17AE4" w:rsidRPr="00641D44">
        <w:rPr>
          <w:rFonts w:ascii="Arial" w:hAnsi="Arial" w:cs="Arial"/>
        </w:rPr>
        <w:t xml:space="preserve">of the Inglewood site </w:t>
      </w:r>
      <w:r w:rsidR="00D11116" w:rsidRPr="00641D44">
        <w:rPr>
          <w:rFonts w:ascii="Arial" w:hAnsi="Arial" w:cs="Arial"/>
        </w:rPr>
        <w:t>have similar landscape characteristics to Inglewood</w:t>
      </w:r>
      <w:r w:rsidRPr="00641D44">
        <w:rPr>
          <w:rFonts w:ascii="Arial" w:hAnsi="Arial" w:cs="Arial"/>
        </w:rPr>
        <w:t>.  D</w:t>
      </w:r>
      <w:r w:rsidR="00D11116" w:rsidRPr="00641D44">
        <w:rPr>
          <w:rFonts w:ascii="Arial" w:hAnsi="Arial" w:cs="Arial"/>
        </w:rPr>
        <w:t xml:space="preserve">evelopment of either part of this area would substantially erode the gap between White Rock and Galmpton. </w:t>
      </w:r>
      <w:r w:rsidR="00E61008" w:rsidRPr="00641D44">
        <w:rPr>
          <w:rFonts w:ascii="Arial" w:hAnsi="Arial" w:cs="Arial"/>
        </w:rPr>
        <w:t xml:space="preserve"> It would breach the principle that the area serves a</w:t>
      </w:r>
      <w:r w:rsidR="000B088A" w:rsidRPr="00641D44">
        <w:rPr>
          <w:rFonts w:ascii="Arial" w:hAnsi="Arial" w:cs="Arial"/>
        </w:rPr>
        <w:t xml:space="preserve"> role a</w:t>
      </w:r>
      <w:r w:rsidR="00E61008" w:rsidRPr="00641D44">
        <w:rPr>
          <w:rFonts w:ascii="Arial" w:hAnsi="Arial" w:cs="Arial"/>
        </w:rPr>
        <w:t>s a</w:t>
      </w:r>
      <w:r w:rsidR="000B088A" w:rsidRPr="00641D44">
        <w:rPr>
          <w:rFonts w:ascii="Arial" w:hAnsi="Arial" w:cs="Arial"/>
        </w:rPr>
        <w:t>n important rural</w:t>
      </w:r>
      <w:r w:rsidR="00E61008" w:rsidRPr="00641D44">
        <w:rPr>
          <w:rFonts w:ascii="Arial" w:hAnsi="Arial" w:cs="Arial"/>
        </w:rPr>
        <w:t xml:space="preserve"> gap between the development of White Rock to the north and smaller settlement of Galmpton to the south.  Once the principle of development</w:t>
      </w:r>
      <w:r w:rsidR="00A022CB" w:rsidRPr="00641D44">
        <w:rPr>
          <w:rFonts w:ascii="Arial" w:hAnsi="Arial" w:cs="Arial"/>
        </w:rPr>
        <w:t xml:space="preserve">, south of the ridge of higher ground including White Rock Knoll </w:t>
      </w:r>
      <w:r w:rsidR="00E61008" w:rsidRPr="00641D44">
        <w:rPr>
          <w:rFonts w:ascii="Arial" w:hAnsi="Arial" w:cs="Arial"/>
        </w:rPr>
        <w:t xml:space="preserve">is breached, the case for further erosion of this part of the rural landscape would be much reduced. </w:t>
      </w:r>
    </w:p>
    <w:p w14:paraId="06F72EA7" w14:textId="77777777" w:rsidR="00E61008" w:rsidRPr="00641D44" w:rsidRDefault="0093034F" w:rsidP="003E179C">
      <w:pPr>
        <w:spacing w:line="360" w:lineRule="auto"/>
        <w:ind w:left="720" w:hanging="720"/>
        <w:jc w:val="both"/>
        <w:rPr>
          <w:rFonts w:ascii="Arial" w:eastAsia="Times New Roman" w:hAnsi="Arial" w:cs="Arial"/>
          <w:color w:val="000000"/>
          <w:lang w:eastAsia="en-GB"/>
        </w:rPr>
      </w:pPr>
      <w:r w:rsidRPr="00641D44">
        <w:rPr>
          <w:rFonts w:ascii="Arial" w:hAnsi="Arial" w:cs="Arial"/>
        </w:rPr>
        <w:t>6</w:t>
      </w:r>
      <w:r w:rsidR="00E61008" w:rsidRPr="00641D44">
        <w:rPr>
          <w:rFonts w:ascii="Arial" w:hAnsi="Arial" w:cs="Arial"/>
        </w:rPr>
        <w:t>.1</w:t>
      </w:r>
      <w:r w:rsidR="00B523A5" w:rsidRPr="00641D44">
        <w:rPr>
          <w:rFonts w:ascii="Arial" w:hAnsi="Arial" w:cs="Arial"/>
        </w:rPr>
        <w:t>5</w:t>
      </w:r>
      <w:r w:rsidR="00E61008" w:rsidRPr="00641D44">
        <w:rPr>
          <w:rFonts w:ascii="Arial" w:hAnsi="Arial" w:cs="Arial"/>
        </w:rPr>
        <w:tab/>
      </w:r>
      <w:r w:rsidR="00E61008" w:rsidRPr="00641D44">
        <w:rPr>
          <w:rFonts w:ascii="Arial" w:eastAsia="Times New Roman" w:hAnsi="Arial" w:cs="Arial"/>
          <w:color w:val="000000"/>
          <w:lang w:eastAsia="en-GB"/>
        </w:rPr>
        <w:t>Policy PNP21 of the</w:t>
      </w:r>
      <w:r w:rsidR="000B088A" w:rsidRPr="00641D44">
        <w:rPr>
          <w:rFonts w:ascii="Arial" w:eastAsia="Times New Roman" w:hAnsi="Arial" w:cs="Arial"/>
          <w:color w:val="000000"/>
          <w:lang w:eastAsia="en-GB"/>
        </w:rPr>
        <w:t xml:space="preserve"> m</w:t>
      </w:r>
      <w:r w:rsidR="00E61008" w:rsidRPr="00641D44">
        <w:rPr>
          <w:rFonts w:ascii="Arial" w:eastAsia="Times New Roman" w:hAnsi="Arial" w:cs="Arial"/>
          <w:color w:val="000000"/>
          <w:lang w:eastAsia="en-GB"/>
        </w:rPr>
        <w:t>ade Paignton Neighbourhood Plan resists expansion south of the existing White Rock site. This may be taken as general support for the BPNP’s policies, but cannot be given weight beyond this, since the Inglewood site falls outside of the PNP’s boundaries</w:t>
      </w:r>
      <w:r w:rsidR="00B523A5" w:rsidRPr="00641D44">
        <w:rPr>
          <w:rFonts w:ascii="Arial" w:eastAsia="Times New Roman" w:hAnsi="Arial" w:cs="Arial"/>
          <w:color w:val="000000"/>
          <w:lang w:eastAsia="en-GB"/>
        </w:rPr>
        <w:t xml:space="preserve"> (apart from the norther</w:t>
      </w:r>
      <w:r w:rsidR="003E179C" w:rsidRPr="00641D44">
        <w:rPr>
          <w:rFonts w:ascii="Arial" w:eastAsia="Times New Roman" w:hAnsi="Arial" w:cs="Arial"/>
          <w:color w:val="000000"/>
          <w:lang w:eastAsia="en-GB"/>
        </w:rPr>
        <w:t>n</w:t>
      </w:r>
      <w:r w:rsidR="00B523A5" w:rsidRPr="00641D44">
        <w:rPr>
          <w:rFonts w:ascii="Arial" w:eastAsia="Times New Roman" w:hAnsi="Arial" w:cs="Arial"/>
          <w:color w:val="000000"/>
          <w:lang w:eastAsia="en-GB"/>
        </w:rPr>
        <w:t xml:space="preserve"> access route and junction improvements)</w:t>
      </w:r>
      <w:r w:rsidR="00E61008" w:rsidRPr="00641D44">
        <w:rPr>
          <w:rFonts w:ascii="Arial" w:eastAsia="Times New Roman" w:hAnsi="Arial" w:cs="Arial"/>
          <w:color w:val="000000"/>
          <w:lang w:eastAsia="en-GB"/>
        </w:rPr>
        <w:t>.</w:t>
      </w:r>
    </w:p>
    <w:p w14:paraId="53C57790" w14:textId="77777777" w:rsidR="00D7234B" w:rsidRPr="00641D44" w:rsidRDefault="002F4ADC" w:rsidP="0072052E">
      <w:pPr>
        <w:spacing w:line="360" w:lineRule="auto"/>
        <w:ind w:left="720" w:hanging="720"/>
        <w:rPr>
          <w:rFonts w:ascii="Arial" w:eastAsia="Times New Roman" w:hAnsi="Arial" w:cs="Arial"/>
          <w:b/>
          <w:lang w:eastAsia="en-GB"/>
        </w:rPr>
      </w:pPr>
      <w:r w:rsidRPr="00641D44">
        <w:rPr>
          <w:rFonts w:ascii="Arial" w:eastAsia="Times New Roman" w:hAnsi="Arial" w:cs="Arial"/>
          <w:b/>
          <w:lang w:eastAsia="en-GB"/>
        </w:rPr>
        <w:tab/>
        <w:t xml:space="preserve">Why the Neighbourhood Plan should be given very significant weight </w:t>
      </w:r>
      <w:r w:rsidR="00763FCA" w:rsidRPr="00641D44">
        <w:rPr>
          <w:rFonts w:ascii="Arial" w:eastAsia="Times New Roman" w:hAnsi="Arial" w:cs="Arial"/>
          <w:b/>
          <w:lang w:eastAsia="en-GB"/>
        </w:rPr>
        <w:t xml:space="preserve">despite </w:t>
      </w:r>
      <w:r w:rsidR="00B523A5" w:rsidRPr="00641D44">
        <w:rPr>
          <w:rFonts w:ascii="Arial" w:eastAsia="Times New Roman" w:hAnsi="Arial" w:cs="Arial"/>
          <w:b/>
          <w:lang w:eastAsia="en-GB"/>
        </w:rPr>
        <w:t xml:space="preserve">a Bay-Wide Housing Shortfall. </w:t>
      </w:r>
    </w:p>
    <w:p w14:paraId="5988A04F" w14:textId="50A39933" w:rsidR="00D7234B" w:rsidRPr="00641D44" w:rsidRDefault="0093034F" w:rsidP="003E179C">
      <w:pPr>
        <w:spacing w:line="360" w:lineRule="auto"/>
        <w:ind w:left="720" w:hanging="720"/>
        <w:jc w:val="both"/>
        <w:rPr>
          <w:rFonts w:ascii="Arial" w:hAnsi="Arial" w:cs="Arial"/>
          <w:i/>
        </w:rPr>
      </w:pPr>
      <w:r w:rsidRPr="00641D44">
        <w:rPr>
          <w:rFonts w:ascii="Arial" w:hAnsi="Arial" w:cs="Arial"/>
        </w:rPr>
        <w:t>6</w:t>
      </w:r>
      <w:r w:rsidR="00763FCA" w:rsidRPr="00641D44">
        <w:rPr>
          <w:rFonts w:ascii="Arial" w:hAnsi="Arial" w:cs="Arial"/>
        </w:rPr>
        <w:t>.1</w:t>
      </w:r>
      <w:r w:rsidRPr="00641D44">
        <w:rPr>
          <w:rFonts w:ascii="Arial" w:hAnsi="Arial" w:cs="Arial"/>
        </w:rPr>
        <w:t>6</w:t>
      </w:r>
      <w:r w:rsidR="00763FCA" w:rsidRPr="00641D44">
        <w:rPr>
          <w:rFonts w:ascii="Arial" w:hAnsi="Arial" w:cs="Arial"/>
        </w:rPr>
        <w:tab/>
      </w:r>
      <w:r w:rsidR="000B088A" w:rsidRPr="00641D44">
        <w:rPr>
          <w:rFonts w:ascii="Arial" w:hAnsi="Arial" w:cs="Arial"/>
        </w:rPr>
        <w:t xml:space="preserve">The Council’s </w:t>
      </w:r>
      <w:r w:rsidR="00763FCA" w:rsidRPr="00641D44">
        <w:rPr>
          <w:rFonts w:ascii="Arial" w:hAnsi="Arial" w:cs="Arial"/>
        </w:rPr>
        <w:t xml:space="preserve">Planning Committee considered the application </w:t>
      </w:r>
      <w:r w:rsidR="000B088A" w:rsidRPr="00641D44">
        <w:rPr>
          <w:rFonts w:ascii="Arial" w:hAnsi="Arial" w:cs="Arial"/>
        </w:rPr>
        <w:t>having applied the tilted balance in</w:t>
      </w:r>
      <w:r w:rsidR="00763FCA" w:rsidRPr="00641D44">
        <w:rPr>
          <w:rFonts w:ascii="Arial" w:hAnsi="Arial" w:cs="Arial"/>
        </w:rPr>
        <w:t xml:space="preserve"> NPPF paragraph 11</w:t>
      </w:r>
      <w:r w:rsidR="00AB4AF4" w:rsidRPr="00641D44">
        <w:rPr>
          <w:rFonts w:ascii="Arial" w:hAnsi="Arial" w:cs="Arial"/>
        </w:rPr>
        <w:t xml:space="preserve"> in relation to the development plan, </w:t>
      </w:r>
      <w:r w:rsidR="000B088A" w:rsidRPr="00641D44">
        <w:rPr>
          <w:rFonts w:ascii="Arial" w:hAnsi="Arial" w:cs="Arial"/>
        </w:rPr>
        <w:t xml:space="preserve"> </w:t>
      </w:r>
      <w:r w:rsidR="00763FCA" w:rsidRPr="00641D44">
        <w:rPr>
          <w:rFonts w:ascii="Arial" w:hAnsi="Arial" w:cs="Arial"/>
        </w:rPr>
        <w:t xml:space="preserve">and </w:t>
      </w:r>
      <w:r w:rsidR="0093358F" w:rsidRPr="00641D44">
        <w:rPr>
          <w:rFonts w:ascii="Arial" w:hAnsi="Arial" w:cs="Arial"/>
        </w:rPr>
        <w:t xml:space="preserve">still considered that the proposal’s conflict with the neighbourhood plan was of sufficient weight to warrant refusal. </w:t>
      </w:r>
      <w:r w:rsidR="00AB4AF4" w:rsidRPr="00641D44">
        <w:rPr>
          <w:rFonts w:ascii="Arial" w:hAnsi="Arial" w:cs="Arial"/>
        </w:rPr>
        <w:t xml:space="preserve"> As set out above, this may have been a “belt and braces” exercise on the basis that harm to the AONB can provide a clear reason for refusal under paragraph 11d)</w:t>
      </w:r>
      <w:proofErr w:type="spellStart"/>
      <w:r w:rsidR="00AB4AF4" w:rsidRPr="00641D44">
        <w:rPr>
          <w:rFonts w:ascii="Arial" w:hAnsi="Arial" w:cs="Arial"/>
        </w:rPr>
        <w:t>i</w:t>
      </w:r>
      <w:proofErr w:type="spellEnd"/>
      <w:r w:rsidR="00AB4AF4" w:rsidRPr="00641D44">
        <w:rPr>
          <w:rFonts w:ascii="Arial" w:hAnsi="Arial" w:cs="Arial"/>
        </w:rPr>
        <w:t xml:space="preserve">. </w:t>
      </w:r>
      <w:r w:rsidR="00577AB7" w:rsidRPr="00641D44">
        <w:rPr>
          <w:rFonts w:ascii="Arial" w:hAnsi="Arial" w:cs="Arial"/>
        </w:rPr>
        <w:t xml:space="preserve"> </w:t>
      </w:r>
    </w:p>
    <w:p w14:paraId="697ADE19" w14:textId="77777777" w:rsidR="0034166E" w:rsidRPr="00641D44" w:rsidRDefault="0093034F" w:rsidP="003E179C">
      <w:pPr>
        <w:spacing w:before="100" w:beforeAutospacing="1" w:after="100" w:afterAutospacing="1" w:line="360" w:lineRule="auto"/>
        <w:ind w:left="709" w:hanging="709"/>
        <w:jc w:val="both"/>
        <w:rPr>
          <w:rFonts w:ascii="Arial" w:eastAsia="Times New Roman" w:hAnsi="Arial" w:cs="Arial"/>
          <w:color w:val="000000"/>
          <w:lang w:eastAsia="en-GB"/>
        </w:rPr>
      </w:pPr>
      <w:r w:rsidRPr="00641D44">
        <w:rPr>
          <w:rFonts w:ascii="Arial" w:eastAsia="Times New Roman" w:hAnsi="Arial" w:cs="Arial"/>
          <w:color w:val="000000"/>
          <w:lang w:eastAsia="en-GB"/>
        </w:rPr>
        <w:t>6</w:t>
      </w:r>
      <w:r w:rsidR="0093358F" w:rsidRPr="00641D44">
        <w:rPr>
          <w:rFonts w:ascii="Arial" w:eastAsia="Times New Roman" w:hAnsi="Arial" w:cs="Arial"/>
          <w:color w:val="000000"/>
          <w:lang w:eastAsia="en-GB"/>
        </w:rPr>
        <w:t>.1</w:t>
      </w:r>
      <w:r w:rsidRPr="00641D44">
        <w:rPr>
          <w:rFonts w:ascii="Arial" w:eastAsia="Times New Roman" w:hAnsi="Arial" w:cs="Arial"/>
          <w:color w:val="000000"/>
          <w:lang w:eastAsia="en-GB"/>
        </w:rPr>
        <w:t>7</w:t>
      </w:r>
      <w:r w:rsidR="00B17AE4" w:rsidRPr="00641D44">
        <w:rPr>
          <w:rFonts w:ascii="Arial" w:eastAsia="Times New Roman" w:hAnsi="Arial" w:cs="Arial"/>
          <w:color w:val="000000"/>
          <w:lang w:eastAsia="en-GB"/>
        </w:rPr>
        <w:tab/>
      </w:r>
      <w:r w:rsidR="0093358F" w:rsidRPr="00641D44">
        <w:rPr>
          <w:rFonts w:ascii="Arial" w:eastAsia="Times New Roman" w:hAnsi="Arial" w:cs="Arial"/>
          <w:color w:val="000000"/>
          <w:lang w:eastAsia="en-GB"/>
        </w:rPr>
        <w:tab/>
        <w:t xml:space="preserve">Paragraph 14 of the NPPF provides additional protection to made neighbourhood plans </w:t>
      </w:r>
      <w:r w:rsidR="00D609B6" w:rsidRPr="00641D44">
        <w:rPr>
          <w:rFonts w:ascii="Arial" w:eastAsia="Times New Roman" w:hAnsi="Arial" w:cs="Arial"/>
          <w:color w:val="000000"/>
          <w:lang w:eastAsia="en-GB"/>
        </w:rPr>
        <w:t>from</w:t>
      </w:r>
      <w:r w:rsidR="0093358F" w:rsidRPr="00641D44">
        <w:rPr>
          <w:rFonts w:ascii="Arial" w:eastAsia="Times New Roman" w:hAnsi="Arial" w:cs="Arial"/>
          <w:color w:val="000000"/>
          <w:lang w:eastAsia="en-GB"/>
        </w:rPr>
        <w:t xml:space="preserve"> housing proposals.  It states that, the adverse impact of allowing development that conflicts with the neighbourhood plan is likely to significantly and demonstrably outweigh the benefits, provided that all of </w:t>
      </w:r>
      <w:r w:rsidR="00B523A5" w:rsidRPr="00641D44">
        <w:rPr>
          <w:rFonts w:ascii="Arial" w:eastAsia="Times New Roman" w:hAnsi="Arial" w:cs="Arial"/>
          <w:color w:val="000000"/>
          <w:lang w:eastAsia="en-GB"/>
        </w:rPr>
        <w:t xml:space="preserve">four criteria apply. </w:t>
      </w:r>
      <w:r w:rsidR="0093358F" w:rsidRPr="00641D44">
        <w:rPr>
          <w:rFonts w:ascii="Arial" w:eastAsia="Times New Roman" w:hAnsi="Arial" w:cs="Arial"/>
          <w:color w:val="000000"/>
          <w:lang w:eastAsia="en-GB"/>
        </w:rPr>
        <w:t xml:space="preserve"> </w:t>
      </w:r>
    </w:p>
    <w:p w14:paraId="29A75866" w14:textId="77777777" w:rsidR="00D37A21" w:rsidRPr="00641D44" w:rsidRDefault="0093034F" w:rsidP="003E179C">
      <w:pPr>
        <w:spacing w:before="100" w:beforeAutospacing="1" w:after="100" w:afterAutospacing="1" w:line="360" w:lineRule="auto"/>
        <w:ind w:left="709" w:hanging="709"/>
        <w:contextualSpacing/>
        <w:jc w:val="both"/>
        <w:rPr>
          <w:rFonts w:ascii="Arial" w:hAnsi="Arial" w:cs="Arial"/>
        </w:rPr>
      </w:pPr>
      <w:r w:rsidRPr="00641D44">
        <w:rPr>
          <w:rFonts w:ascii="Arial" w:eastAsia="Times New Roman" w:hAnsi="Arial" w:cs="Arial"/>
          <w:color w:val="000000"/>
          <w:lang w:eastAsia="en-GB"/>
        </w:rPr>
        <w:t>6</w:t>
      </w:r>
      <w:r w:rsidR="0093358F" w:rsidRPr="00641D44">
        <w:rPr>
          <w:rFonts w:ascii="Arial" w:eastAsia="Times New Roman" w:hAnsi="Arial" w:cs="Arial"/>
          <w:color w:val="000000"/>
          <w:lang w:eastAsia="en-GB"/>
        </w:rPr>
        <w:t>.1</w:t>
      </w:r>
      <w:r w:rsidRPr="00641D44">
        <w:rPr>
          <w:rFonts w:ascii="Arial" w:eastAsia="Times New Roman" w:hAnsi="Arial" w:cs="Arial"/>
          <w:color w:val="000000"/>
          <w:lang w:eastAsia="en-GB"/>
        </w:rPr>
        <w:t>8</w:t>
      </w:r>
      <w:r w:rsidR="0093358F" w:rsidRPr="00641D44">
        <w:rPr>
          <w:rFonts w:ascii="Arial" w:eastAsia="Times New Roman" w:hAnsi="Arial" w:cs="Arial"/>
          <w:color w:val="000000"/>
          <w:lang w:eastAsia="en-GB"/>
        </w:rPr>
        <w:tab/>
        <w:t xml:space="preserve">The BPNP became part of the development plan </w:t>
      </w:r>
      <w:r w:rsidR="0034166E" w:rsidRPr="00641D44">
        <w:rPr>
          <w:rFonts w:ascii="Arial" w:eastAsia="Times New Roman" w:hAnsi="Arial" w:cs="Arial"/>
          <w:color w:val="000000"/>
          <w:lang w:eastAsia="en-GB"/>
        </w:rPr>
        <w:t>in June 201</w:t>
      </w:r>
      <w:r w:rsidR="006F7355" w:rsidRPr="00641D44">
        <w:rPr>
          <w:rFonts w:ascii="Arial" w:eastAsia="Times New Roman" w:hAnsi="Arial" w:cs="Arial"/>
          <w:color w:val="000000"/>
          <w:lang w:eastAsia="en-GB"/>
        </w:rPr>
        <w:t>9</w:t>
      </w:r>
      <w:r w:rsidR="0093358F" w:rsidRPr="00641D44">
        <w:rPr>
          <w:rFonts w:ascii="Arial" w:eastAsia="Times New Roman" w:hAnsi="Arial" w:cs="Arial"/>
          <w:color w:val="000000"/>
          <w:lang w:eastAsia="en-GB"/>
        </w:rPr>
        <w:t xml:space="preserve">.  As set out above, </w:t>
      </w:r>
      <w:r w:rsidR="00B523A5" w:rsidRPr="00641D44">
        <w:rPr>
          <w:rFonts w:ascii="Arial" w:eastAsia="Times New Roman" w:hAnsi="Arial" w:cs="Arial"/>
          <w:color w:val="000000"/>
          <w:lang w:eastAsia="en-GB"/>
        </w:rPr>
        <w:t>it contains policies and allocations (</w:t>
      </w:r>
      <w:r w:rsidR="0093358F" w:rsidRPr="00641D44">
        <w:rPr>
          <w:rFonts w:ascii="Arial" w:eastAsia="Times New Roman" w:hAnsi="Arial" w:cs="Arial"/>
          <w:color w:val="000000"/>
          <w:lang w:eastAsia="en-GB"/>
        </w:rPr>
        <w:t>Policy BH3 (etc.)</w:t>
      </w:r>
      <w:r w:rsidR="000B088A" w:rsidRPr="00641D44">
        <w:rPr>
          <w:rFonts w:ascii="Arial" w:eastAsia="Times New Roman" w:hAnsi="Arial" w:cs="Arial"/>
          <w:color w:val="000000"/>
          <w:lang w:eastAsia="en-GB"/>
        </w:rPr>
        <w:t>)</w:t>
      </w:r>
      <w:r w:rsidR="0093358F" w:rsidRPr="00641D44">
        <w:rPr>
          <w:rFonts w:ascii="Arial" w:eastAsia="Times New Roman" w:hAnsi="Arial" w:cs="Arial"/>
          <w:color w:val="000000"/>
          <w:lang w:eastAsia="en-GB"/>
        </w:rPr>
        <w:t xml:space="preserve"> to meet</w:t>
      </w:r>
      <w:r w:rsidR="00D37A21" w:rsidRPr="00641D44">
        <w:rPr>
          <w:rFonts w:ascii="Arial" w:eastAsia="Times New Roman" w:hAnsi="Arial" w:cs="Arial"/>
          <w:color w:val="000000"/>
          <w:lang w:eastAsia="en-GB"/>
        </w:rPr>
        <w:t xml:space="preserve"> fully</w:t>
      </w:r>
      <w:r w:rsidR="0093358F" w:rsidRPr="00641D44">
        <w:rPr>
          <w:rFonts w:ascii="Arial" w:eastAsia="Times New Roman" w:hAnsi="Arial" w:cs="Arial"/>
          <w:color w:val="000000"/>
          <w:lang w:eastAsia="en-GB"/>
        </w:rPr>
        <w:t xml:space="preserve"> its identified housing requirement. </w:t>
      </w:r>
      <w:r w:rsidR="002B1934" w:rsidRPr="00641D44">
        <w:rPr>
          <w:rFonts w:ascii="Arial" w:eastAsia="Times New Roman" w:hAnsi="Arial" w:cs="Arial"/>
          <w:color w:val="000000"/>
          <w:lang w:eastAsia="en-GB"/>
        </w:rPr>
        <w:t xml:space="preserve"> </w:t>
      </w:r>
      <w:r w:rsidR="0093358F" w:rsidRPr="00641D44">
        <w:rPr>
          <w:rFonts w:ascii="Arial" w:eastAsia="Times New Roman" w:hAnsi="Arial" w:cs="Arial"/>
          <w:color w:val="000000"/>
          <w:lang w:eastAsia="en-GB"/>
        </w:rPr>
        <w:t xml:space="preserve">Torbay’s most recent housing delivery test figure </w:t>
      </w:r>
      <w:r w:rsidR="00C22602" w:rsidRPr="00641D44">
        <w:rPr>
          <w:rFonts w:ascii="Arial" w:eastAsia="Times New Roman" w:hAnsi="Arial" w:cs="Arial"/>
          <w:color w:val="000000"/>
          <w:lang w:eastAsia="en-GB"/>
        </w:rPr>
        <w:t>is well above 45%</w:t>
      </w:r>
      <w:r w:rsidR="00FC218E" w:rsidRPr="00641D44">
        <w:rPr>
          <w:rFonts w:ascii="Arial" w:eastAsia="Times New Roman" w:hAnsi="Arial" w:cs="Arial"/>
          <w:color w:val="000000"/>
          <w:lang w:eastAsia="en-GB"/>
        </w:rPr>
        <w:t xml:space="preserve">. </w:t>
      </w:r>
      <w:r w:rsidR="0093358F" w:rsidRPr="00641D44">
        <w:rPr>
          <w:rFonts w:ascii="Arial" w:eastAsia="Times New Roman" w:hAnsi="Arial" w:cs="Arial"/>
          <w:color w:val="000000"/>
          <w:lang w:eastAsia="en-GB"/>
        </w:rPr>
        <w:t xml:space="preserve"> </w:t>
      </w:r>
      <w:proofErr w:type="gramStart"/>
      <w:r w:rsidR="00FC218E" w:rsidRPr="00641D44">
        <w:rPr>
          <w:rFonts w:ascii="Arial" w:hAnsi="Arial" w:cs="Arial"/>
        </w:rPr>
        <w:t>Between 2012-20</w:t>
      </w:r>
      <w:r w:rsidR="00D37A21" w:rsidRPr="00641D44">
        <w:rPr>
          <w:rFonts w:ascii="Arial" w:hAnsi="Arial" w:cs="Arial"/>
        </w:rPr>
        <w:t>20</w:t>
      </w:r>
      <w:proofErr w:type="gramEnd"/>
      <w:r w:rsidR="00D37A21" w:rsidRPr="00641D44">
        <w:rPr>
          <w:rFonts w:ascii="Arial" w:hAnsi="Arial" w:cs="Arial"/>
        </w:rPr>
        <w:t xml:space="preserve"> </w:t>
      </w:r>
      <w:r w:rsidR="00FC218E" w:rsidRPr="00641D44">
        <w:rPr>
          <w:rFonts w:ascii="Arial" w:hAnsi="Arial" w:cs="Arial"/>
        </w:rPr>
        <w:t xml:space="preserve">there were </w:t>
      </w:r>
      <w:r w:rsidR="00D37A21" w:rsidRPr="00641D44">
        <w:rPr>
          <w:rFonts w:ascii="Arial" w:hAnsi="Arial" w:cs="Arial"/>
        </w:rPr>
        <w:t>370</w:t>
      </w:r>
      <w:r w:rsidR="00FC218E" w:rsidRPr="00641D44">
        <w:rPr>
          <w:rFonts w:ascii="Arial" w:hAnsi="Arial" w:cs="Arial"/>
        </w:rPr>
        <w:t xml:space="preserve"> dwellings completed in the Brixham Peninsula, </w:t>
      </w:r>
      <w:r w:rsidR="00FC218E" w:rsidRPr="00641D44">
        <w:rPr>
          <w:rFonts w:ascii="Arial" w:hAnsi="Arial" w:cs="Arial"/>
        </w:rPr>
        <w:lastRenderedPageBreak/>
        <w:t>which is 1</w:t>
      </w:r>
      <w:r w:rsidR="00D37A21" w:rsidRPr="00641D44">
        <w:rPr>
          <w:rFonts w:ascii="Arial" w:hAnsi="Arial" w:cs="Arial"/>
        </w:rPr>
        <w:t>17.5</w:t>
      </w:r>
      <w:r w:rsidR="00FC218E" w:rsidRPr="00641D44">
        <w:rPr>
          <w:rFonts w:ascii="Arial" w:hAnsi="Arial" w:cs="Arial"/>
        </w:rPr>
        <w:t xml:space="preserve">% of its </w:t>
      </w:r>
      <w:r w:rsidR="00D37A21" w:rsidRPr="00641D44">
        <w:rPr>
          <w:rFonts w:ascii="Arial" w:hAnsi="Arial" w:cs="Arial"/>
        </w:rPr>
        <w:t>cumulative requirement of 315 dwellings.  If the Housing Delivery Test were applied</w:t>
      </w:r>
      <w:r w:rsidR="00CA105C" w:rsidRPr="00641D44">
        <w:rPr>
          <w:rFonts w:ascii="Arial" w:hAnsi="Arial" w:cs="Arial"/>
        </w:rPr>
        <w:t xml:space="preserve"> at a neighbourhood plan level,</w:t>
      </w:r>
      <w:r w:rsidR="00D37A21" w:rsidRPr="00641D44">
        <w:rPr>
          <w:rFonts w:ascii="Arial" w:hAnsi="Arial" w:cs="Arial"/>
        </w:rPr>
        <w:t xml:space="preserve"> there have been 205 completions in the last 3 years, which is 152% of the three year requirement (at 45 per year).  </w:t>
      </w:r>
    </w:p>
    <w:p w14:paraId="13F70970" w14:textId="77777777" w:rsidR="00D37A21" w:rsidRPr="00641D44" w:rsidRDefault="00D37A21" w:rsidP="0072052E">
      <w:pPr>
        <w:spacing w:before="100" w:beforeAutospacing="1" w:after="100" w:afterAutospacing="1" w:line="360" w:lineRule="auto"/>
        <w:ind w:left="709" w:hanging="709"/>
        <w:contextualSpacing/>
        <w:rPr>
          <w:rFonts w:ascii="Arial" w:hAnsi="Arial" w:cs="Arial"/>
        </w:rPr>
      </w:pPr>
    </w:p>
    <w:p w14:paraId="0731D300" w14:textId="49AA6933" w:rsidR="0093358F" w:rsidRPr="00641D44" w:rsidRDefault="0093034F" w:rsidP="003E179C">
      <w:pPr>
        <w:spacing w:before="100" w:beforeAutospacing="1" w:after="100" w:afterAutospacing="1" w:line="360" w:lineRule="auto"/>
        <w:ind w:left="709" w:hanging="709"/>
        <w:contextualSpacing/>
        <w:jc w:val="both"/>
        <w:rPr>
          <w:rFonts w:ascii="Arial" w:hAnsi="Arial" w:cs="Arial"/>
        </w:rPr>
      </w:pPr>
      <w:r w:rsidRPr="00641D44">
        <w:rPr>
          <w:rFonts w:ascii="Arial" w:hAnsi="Arial" w:cs="Arial"/>
        </w:rPr>
        <w:t>6</w:t>
      </w:r>
      <w:r w:rsidR="00D37A21" w:rsidRPr="00641D44">
        <w:rPr>
          <w:rFonts w:ascii="Arial" w:hAnsi="Arial" w:cs="Arial"/>
        </w:rPr>
        <w:t>.1</w:t>
      </w:r>
      <w:r w:rsidRPr="00641D44">
        <w:rPr>
          <w:rFonts w:ascii="Arial" w:hAnsi="Arial" w:cs="Arial"/>
        </w:rPr>
        <w:t>9</w:t>
      </w:r>
      <w:r w:rsidR="00D37A21" w:rsidRPr="00641D44">
        <w:rPr>
          <w:rFonts w:ascii="Arial" w:hAnsi="Arial" w:cs="Arial"/>
        </w:rPr>
        <w:tab/>
      </w:r>
      <w:r w:rsidR="00FC218E" w:rsidRPr="00641D44">
        <w:rPr>
          <w:rFonts w:ascii="Arial" w:hAnsi="Arial" w:cs="Arial"/>
        </w:rPr>
        <w:t>Therefore, c</w:t>
      </w:r>
      <w:r w:rsidR="00E7683B" w:rsidRPr="00641D44">
        <w:rPr>
          <w:rFonts w:ascii="Arial" w:hAnsi="Arial" w:cs="Arial"/>
        </w:rPr>
        <w:t>r</w:t>
      </w:r>
      <w:r w:rsidR="00FC218E" w:rsidRPr="00641D44">
        <w:rPr>
          <w:rFonts w:ascii="Arial" w:hAnsi="Arial" w:cs="Arial"/>
        </w:rPr>
        <w:t>iteria a), b),</w:t>
      </w:r>
      <w:r w:rsidR="00E7683B" w:rsidRPr="00641D44">
        <w:rPr>
          <w:rFonts w:ascii="Arial" w:hAnsi="Arial" w:cs="Arial"/>
        </w:rPr>
        <w:t xml:space="preserve"> </w:t>
      </w:r>
      <w:r w:rsidR="00FC218E" w:rsidRPr="00641D44">
        <w:rPr>
          <w:rFonts w:ascii="Arial" w:hAnsi="Arial" w:cs="Arial"/>
        </w:rPr>
        <w:t>and d) of paragraph 14 of the NPPF are fully engaged and attention naturally falls onto whether more than three years’ housing supply can be demonstrated</w:t>
      </w:r>
      <w:r w:rsidR="00336780" w:rsidRPr="00641D44">
        <w:rPr>
          <w:rFonts w:ascii="Arial" w:hAnsi="Arial" w:cs="Arial"/>
        </w:rPr>
        <w:t xml:space="preserve"> (criteria c)</w:t>
      </w:r>
      <w:r w:rsidR="00FC218E" w:rsidRPr="00641D44">
        <w:rPr>
          <w:rFonts w:ascii="Arial" w:hAnsi="Arial" w:cs="Arial"/>
        </w:rPr>
        <w:t xml:space="preserve">.  </w:t>
      </w:r>
      <w:r w:rsidR="00D37A21" w:rsidRPr="00641D44">
        <w:rPr>
          <w:rFonts w:ascii="Arial" w:hAnsi="Arial" w:cs="Arial"/>
        </w:rPr>
        <w:t xml:space="preserve"> This is discussed above and in the </w:t>
      </w:r>
      <w:r w:rsidR="00CA105C" w:rsidRPr="00641D44">
        <w:rPr>
          <w:rFonts w:ascii="Arial" w:hAnsi="Arial" w:cs="Arial"/>
        </w:rPr>
        <w:t>H</w:t>
      </w:r>
      <w:r w:rsidR="00D37A21" w:rsidRPr="00641D44">
        <w:rPr>
          <w:rFonts w:ascii="Arial" w:hAnsi="Arial" w:cs="Arial"/>
        </w:rPr>
        <w:t>ousing Position Statement.</w:t>
      </w:r>
      <w:r w:rsidR="00CA105C" w:rsidRPr="00641D44">
        <w:rPr>
          <w:rFonts w:ascii="Arial" w:hAnsi="Arial" w:cs="Arial"/>
        </w:rPr>
        <w:t xml:space="preserve">  However, any shortfall emphatically cannot be blamed upon underperformance in the BPNP area, and it is unfair to deprive the BPNP of the protection of </w:t>
      </w:r>
      <w:r w:rsidR="000B088A" w:rsidRPr="00641D44">
        <w:rPr>
          <w:rFonts w:ascii="Arial" w:hAnsi="Arial" w:cs="Arial"/>
        </w:rPr>
        <w:t>p</w:t>
      </w:r>
      <w:r w:rsidR="00CA105C" w:rsidRPr="00641D44">
        <w:rPr>
          <w:rFonts w:ascii="Arial" w:hAnsi="Arial" w:cs="Arial"/>
        </w:rPr>
        <w:t xml:space="preserve">aragraph 14 for reasons outside of its control.  </w:t>
      </w:r>
    </w:p>
    <w:p w14:paraId="1D785B27" w14:textId="77777777" w:rsidR="00FC218E" w:rsidRPr="00641D44" w:rsidRDefault="00FC218E" w:rsidP="003E179C">
      <w:pPr>
        <w:spacing w:before="100" w:beforeAutospacing="1" w:after="100" w:afterAutospacing="1" w:line="360" w:lineRule="auto"/>
        <w:ind w:left="567" w:hanging="567"/>
        <w:contextualSpacing/>
        <w:jc w:val="both"/>
        <w:rPr>
          <w:rFonts w:ascii="Arial" w:hAnsi="Arial" w:cs="Arial"/>
        </w:rPr>
      </w:pPr>
    </w:p>
    <w:p w14:paraId="2D4DAAD4" w14:textId="044E550D" w:rsidR="00CA105C" w:rsidRPr="00641D44" w:rsidRDefault="0093034F" w:rsidP="003E179C">
      <w:pPr>
        <w:spacing w:line="360" w:lineRule="auto"/>
        <w:ind w:left="709" w:hanging="709"/>
        <w:jc w:val="both"/>
        <w:rPr>
          <w:rFonts w:ascii="Arial" w:eastAsia="Times New Roman" w:hAnsi="Arial" w:cs="Arial"/>
          <w:color w:val="000000"/>
          <w:lang w:eastAsia="en-GB"/>
        </w:rPr>
      </w:pPr>
      <w:r w:rsidRPr="00641D44">
        <w:rPr>
          <w:rFonts w:ascii="Arial" w:hAnsi="Arial" w:cs="Arial"/>
        </w:rPr>
        <w:t>6</w:t>
      </w:r>
      <w:r w:rsidR="00CA105C" w:rsidRPr="00641D44">
        <w:rPr>
          <w:rFonts w:ascii="Arial" w:hAnsi="Arial" w:cs="Arial"/>
        </w:rPr>
        <w:t>.</w:t>
      </w:r>
      <w:r w:rsidRPr="00641D44">
        <w:rPr>
          <w:rFonts w:ascii="Arial" w:hAnsi="Arial" w:cs="Arial"/>
        </w:rPr>
        <w:t>20</w:t>
      </w:r>
      <w:r w:rsidR="00CA105C" w:rsidRPr="00641D44">
        <w:rPr>
          <w:rFonts w:ascii="Arial" w:eastAsia="Times New Roman" w:hAnsi="Arial" w:cs="Arial"/>
          <w:color w:val="000000"/>
          <w:lang w:eastAsia="en-GB"/>
        </w:rPr>
        <w:tab/>
        <w:t xml:space="preserve">Paragraph 14 of the NPPF usually appears to be applied as a binary switch that is either </w:t>
      </w:r>
      <w:r w:rsidR="00AB4AF4" w:rsidRPr="00641D44">
        <w:rPr>
          <w:rFonts w:ascii="Arial" w:eastAsia="Times New Roman" w:hAnsi="Arial" w:cs="Arial"/>
          <w:color w:val="000000"/>
          <w:lang w:eastAsia="en-GB"/>
        </w:rPr>
        <w:t>engaged</w:t>
      </w:r>
      <w:r w:rsidR="00CA105C" w:rsidRPr="00641D44">
        <w:rPr>
          <w:rFonts w:ascii="Arial" w:eastAsia="Times New Roman" w:hAnsi="Arial" w:cs="Arial"/>
          <w:color w:val="000000"/>
          <w:lang w:eastAsia="en-GB"/>
        </w:rPr>
        <w:t xml:space="preserve"> or dis</w:t>
      </w:r>
      <w:r w:rsidR="00AB4AF4" w:rsidRPr="00641D44">
        <w:rPr>
          <w:rFonts w:ascii="Arial" w:eastAsia="Times New Roman" w:hAnsi="Arial" w:cs="Arial"/>
          <w:color w:val="000000"/>
          <w:lang w:eastAsia="en-GB"/>
        </w:rPr>
        <w:t>engaged</w:t>
      </w:r>
      <w:r w:rsidR="00CA105C" w:rsidRPr="00641D44">
        <w:rPr>
          <w:rFonts w:ascii="Arial" w:eastAsia="Times New Roman" w:hAnsi="Arial" w:cs="Arial"/>
          <w:color w:val="000000"/>
          <w:lang w:eastAsia="en-GB"/>
        </w:rPr>
        <w:t>.  However, there is nothing in the NPPF to say that criteria a) to d) must be disregarded alt</w:t>
      </w:r>
      <w:r w:rsidRPr="00641D44">
        <w:rPr>
          <w:rFonts w:ascii="Arial" w:eastAsia="Times New Roman" w:hAnsi="Arial" w:cs="Arial"/>
          <w:color w:val="000000"/>
          <w:lang w:eastAsia="en-GB"/>
        </w:rPr>
        <w:t>ogether if any of the tests fail</w:t>
      </w:r>
      <w:r w:rsidR="00CA105C" w:rsidRPr="00641D44">
        <w:rPr>
          <w:rFonts w:ascii="Arial" w:eastAsia="Times New Roman" w:hAnsi="Arial" w:cs="Arial"/>
          <w:color w:val="000000"/>
          <w:lang w:eastAsia="en-GB"/>
        </w:rPr>
        <w:t>. They remain sensible material considerations, and in the current case three of the four are clearly met,</w:t>
      </w:r>
      <w:r w:rsidR="00AB4AF4" w:rsidRPr="00641D44">
        <w:rPr>
          <w:rFonts w:ascii="Arial" w:eastAsia="Times New Roman" w:hAnsi="Arial" w:cs="Arial"/>
          <w:color w:val="000000"/>
          <w:lang w:eastAsia="en-GB"/>
        </w:rPr>
        <w:t xml:space="preserve"> whilst</w:t>
      </w:r>
      <w:r w:rsidR="00CA105C" w:rsidRPr="00641D44">
        <w:rPr>
          <w:rFonts w:ascii="Arial" w:eastAsia="Times New Roman" w:hAnsi="Arial" w:cs="Arial"/>
          <w:color w:val="000000"/>
          <w:lang w:eastAsia="en-GB"/>
        </w:rPr>
        <w:t xml:space="preserve"> the question over c) is not of the Brixham Peninsula’s making.  </w:t>
      </w:r>
    </w:p>
    <w:p w14:paraId="179F61AF" w14:textId="77777777" w:rsidR="00E730FA" w:rsidRPr="00641D44" w:rsidRDefault="0093034F" w:rsidP="003E179C">
      <w:pPr>
        <w:spacing w:before="100" w:beforeAutospacing="1" w:after="100" w:afterAutospacing="1" w:line="360" w:lineRule="auto"/>
        <w:ind w:left="709" w:hanging="709"/>
        <w:jc w:val="both"/>
        <w:rPr>
          <w:rFonts w:ascii="Arial" w:eastAsia="Times New Roman" w:hAnsi="Arial" w:cs="Arial"/>
          <w:color w:val="000000"/>
          <w:lang w:eastAsia="en-GB"/>
        </w:rPr>
      </w:pPr>
      <w:r w:rsidRPr="00641D44">
        <w:rPr>
          <w:rFonts w:ascii="Arial" w:eastAsia="Times New Roman" w:hAnsi="Arial" w:cs="Arial"/>
          <w:color w:val="000000"/>
          <w:lang w:eastAsia="en-GB"/>
        </w:rPr>
        <w:t>6.21</w:t>
      </w:r>
      <w:r w:rsidRPr="00641D44">
        <w:rPr>
          <w:rFonts w:ascii="Arial" w:eastAsia="Times New Roman" w:hAnsi="Arial" w:cs="Arial"/>
          <w:color w:val="000000"/>
          <w:lang w:eastAsia="en-GB"/>
        </w:rPr>
        <w:tab/>
      </w:r>
      <w:r w:rsidR="003609A7" w:rsidRPr="00641D44">
        <w:rPr>
          <w:rFonts w:ascii="Arial" w:eastAsia="Times New Roman" w:hAnsi="Arial" w:cs="Arial"/>
          <w:color w:val="000000"/>
          <w:lang w:eastAsia="en-GB"/>
        </w:rPr>
        <w:t>In addition to the above matters</w:t>
      </w:r>
      <w:r w:rsidRPr="00641D44">
        <w:rPr>
          <w:rFonts w:ascii="Arial" w:eastAsia="Times New Roman" w:hAnsi="Arial" w:cs="Arial"/>
          <w:color w:val="000000"/>
          <w:lang w:eastAsia="en-GB"/>
        </w:rPr>
        <w:t xml:space="preserve">, there is a wider implication for the localism agenda, and particularly the use of non-statutory documents to overwhelm statutory ones. </w:t>
      </w:r>
    </w:p>
    <w:p w14:paraId="587321CF" w14:textId="77777777" w:rsidR="0093034F" w:rsidRPr="00641D44" w:rsidRDefault="0093034F" w:rsidP="0093034F">
      <w:pPr>
        <w:spacing w:before="100" w:beforeAutospacing="1" w:after="100" w:afterAutospacing="1" w:line="360" w:lineRule="auto"/>
        <w:ind w:left="709" w:hanging="709"/>
        <w:rPr>
          <w:rFonts w:ascii="Arial" w:eastAsia="Times New Roman" w:hAnsi="Arial" w:cs="Arial"/>
          <w:b/>
          <w:color w:val="000000"/>
          <w:lang w:eastAsia="en-GB"/>
        </w:rPr>
      </w:pPr>
      <w:r w:rsidRPr="00641D44">
        <w:rPr>
          <w:rFonts w:ascii="Arial" w:eastAsia="Times New Roman" w:hAnsi="Arial" w:cs="Arial"/>
          <w:color w:val="000000"/>
          <w:lang w:eastAsia="en-GB"/>
        </w:rPr>
        <w:t>7</w:t>
      </w:r>
      <w:r w:rsidRPr="00641D44">
        <w:rPr>
          <w:rFonts w:ascii="Arial" w:eastAsia="Times New Roman" w:hAnsi="Arial" w:cs="Arial"/>
          <w:color w:val="000000"/>
          <w:lang w:eastAsia="en-GB"/>
        </w:rPr>
        <w:tab/>
      </w:r>
      <w:r w:rsidRPr="00641D44">
        <w:rPr>
          <w:rFonts w:ascii="Arial" w:eastAsia="Times New Roman" w:hAnsi="Arial" w:cs="Arial"/>
          <w:b/>
          <w:color w:val="000000"/>
          <w:lang w:eastAsia="en-GB"/>
        </w:rPr>
        <w:t>Localism Red in Tooth and Claw</w:t>
      </w:r>
    </w:p>
    <w:p w14:paraId="53E4D49F" w14:textId="063AD6D5" w:rsidR="0093034F" w:rsidRPr="00641D44" w:rsidRDefault="0093034F" w:rsidP="003609A7">
      <w:pPr>
        <w:spacing w:line="360" w:lineRule="auto"/>
        <w:ind w:left="709" w:hanging="709"/>
        <w:jc w:val="both"/>
        <w:rPr>
          <w:rFonts w:ascii="Arial" w:hAnsi="Arial" w:cs="Arial"/>
        </w:rPr>
      </w:pPr>
      <w:r w:rsidRPr="00641D44">
        <w:rPr>
          <w:rFonts w:ascii="Arial" w:eastAsia="Times New Roman" w:hAnsi="Arial" w:cs="Arial"/>
          <w:color w:val="000000"/>
          <w:lang w:eastAsia="en-GB"/>
        </w:rPr>
        <w:t>7.1</w:t>
      </w:r>
      <w:r w:rsidRPr="00641D44">
        <w:rPr>
          <w:rFonts w:ascii="Arial" w:eastAsia="Times New Roman" w:hAnsi="Arial" w:cs="Arial"/>
          <w:color w:val="000000"/>
          <w:lang w:eastAsia="en-GB"/>
        </w:rPr>
        <w:tab/>
      </w:r>
      <w:r w:rsidRPr="00641D44">
        <w:rPr>
          <w:rFonts w:ascii="Arial" w:hAnsi="Arial" w:cs="Arial"/>
        </w:rPr>
        <w:t xml:space="preserve">Localism has been enshrined in law through the Localism Act 2011 and the Neighbourhood Planning Act 2017.  The Neighbourhood Plan has a legal status, and has been through </w:t>
      </w:r>
      <w:r w:rsidR="00CA3A31" w:rsidRPr="00641D44">
        <w:rPr>
          <w:rFonts w:ascii="Arial" w:hAnsi="Arial" w:cs="Arial"/>
        </w:rPr>
        <w:t xml:space="preserve">independent </w:t>
      </w:r>
      <w:r w:rsidRPr="00641D44">
        <w:rPr>
          <w:rFonts w:ascii="Arial" w:hAnsi="Arial" w:cs="Arial"/>
        </w:rPr>
        <w:t xml:space="preserve">examination and referendum and </w:t>
      </w:r>
      <w:r w:rsidR="00CA3A31" w:rsidRPr="00641D44">
        <w:rPr>
          <w:rFonts w:ascii="Arial" w:hAnsi="Arial" w:cs="Arial"/>
        </w:rPr>
        <w:t xml:space="preserve">has </w:t>
      </w:r>
      <w:r w:rsidRPr="00641D44">
        <w:rPr>
          <w:rFonts w:ascii="Arial" w:hAnsi="Arial" w:cs="Arial"/>
        </w:rPr>
        <w:t>passed al</w:t>
      </w:r>
      <w:r w:rsidR="00CA3A31" w:rsidRPr="00641D44">
        <w:rPr>
          <w:rFonts w:ascii="Arial" w:hAnsi="Arial" w:cs="Arial"/>
        </w:rPr>
        <w:t>l</w:t>
      </w:r>
      <w:r w:rsidRPr="00641D44">
        <w:rPr>
          <w:rFonts w:ascii="Arial" w:hAnsi="Arial" w:cs="Arial"/>
        </w:rPr>
        <w:t xml:space="preserve"> of the </w:t>
      </w:r>
      <w:r w:rsidR="009D7005" w:rsidRPr="00641D44">
        <w:rPr>
          <w:rFonts w:ascii="Arial" w:hAnsi="Arial" w:cs="Arial"/>
        </w:rPr>
        <w:t>legally</w:t>
      </w:r>
      <w:r w:rsidRPr="00641D44">
        <w:rPr>
          <w:rFonts w:ascii="Arial" w:hAnsi="Arial" w:cs="Arial"/>
        </w:rPr>
        <w:t xml:space="preserve"> prescribed tests. </w:t>
      </w:r>
      <w:r w:rsidR="009D7005" w:rsidRPr="00641D44">
        <w:rPr>
          <w:rFonts w:ascii="Arial" w:hAnsi="Arial" w:cs="Arial"/>
        </w:rPr>
        <w:t xml:space="preserve"> </w:t>
      </w:r>
      <w:r w:rsidRPr="00641D44">
        <w:rPr>
          <w:rFonts w:ascii="Arial" w:hAnsi="Arial" w:cs="Arial"/>
        </w:rPr>
        <w:t>Much has been made of the government wishing to resile from localism in favour of boosting housing numbers.</w:t>
      </w:r>
      <w:r w:rsidR="009D7005" w:rsidRPr="00641D44">
        <w:rPr>
          <w:rFonts w:ascii="Arial" w:hAnsi="Arial" w:cs="Arial"/>
        </w:rPr>
        <w:t xml:space="preserve"> </w:t>
      </w:r>
      <w:r w:rsidRPr="00641D44">
        <w:rPr>
          <w:rFonts w:ascii="Arial" w:hAnsi="Arial" w:cs="Arial"/>
        </w:rPr>
        <w:t xml:space="preserve"> If </w:t>
      </w:r>
      <w:r w:rsidR="009D7005" w:rsidRPr="00641D44">
        <w:rPr>
          <w:rFonts w:ascii="Arial" w:hAnsi="Arial" w:cs="Arial"/>
        </w:rPr>
        <w:t xml:space="preserve">the </w:t>
      </w:r>
      <w:r w:rsidR="000B088A" w:rsidRPr="00641D44">
        <w:rPr>
          <w:rFonts w:ascii="Arial" w:hAnsi="Arial" w:cs="Arial"/>
        </w:rPr>
        <w:t>g</w:t>
      </w:r>
      <w:r w:rsidR="009D7005" w:rsidRPr="00641D44">
        <w:rPr>
          <w:rFonts w:ascii="Arial" w:hAnsi="Arial" w:cs="Arial"/>
        </w:rPr>
        <w:t xml:space="preserve">overnment wishes to </w:t>
      </w:r>
      <w:r w:rsidRPr="00641D44">
        <w:rPr>
          <w:rFonts w:ascii="Arial" w:hAnsi="Arial" w:cs="Arial"/>
        </w:rPr>
        <w:t>build, from the ground up, a whole new planning system</w:t>
      </w:r>
      <w:r w:rsidR="009D7005" w:rsidRPr="00641D44">
        <w:rPr>
          <w:rFonts w:ascii="Arial" w:hAnsi="Arial" w:cs="Arial"/>
        </w:rPr>
        <w:t>, it must do so</w:t>
      </w:r>
      <w:r w:rsidRPr="00641D44">
        <w:rPr>
          <w:rFonts w:ascii="Arial" w:hAnsi="Arial" w:cs="Arial"/>
        </w:rPr>
        <w:t xml:space="preserve"> do so through primary legislation; not rely on non-statutory edicts. </w:t>
      </w:r>
    </w:p>
    <w:p w14:paraId="0CBDAA1D" w14:textId="77777777" w:rsidR="0093034F" w:rsidRPr="00641D44" w:rsidRDefault="00306346" w:rsidP="003609A7">
      <w:pPr>
        <w:spacing w:before="100" w:beforeAutospacing="1" w:after="100" w:afterAutospacing="1" w:line="360" w:lineRule="auto"/>
        <w:ind w:left="709" w:hanging="709"/>
        <w:jc w:val="both"/>
        <w:rPr>
          <w:rFonts w:ascii="Arial" w:eastAsia="Times New Roman" w:hAnsi="Arial" w:cs="Arial"/>
          <w:color w:val="000000"/>
          <w:lang w:eastAsia="en-GB"/>
        </w:rPr>
      </w:pPr>
      <w:r w:rsidRPr="00641D44">
        <w:rPr>
          <w:rFonts w:ascii="Arial" w:hAnsi="Arial" w:cs="Arial"/>
        </w:rPr>
        <w:t>7.2</w:t>
      </w:r>
      <w:r w:rsidR="0093034F" w:rsidRPr="00641D44">
        <w:rPr>
          <w:rFonts w:ascii="Arial" w:hAnsi="Arial" w:cs="Arial"/>
        </w:rPr>
        <w:tab/>
      </w:r>
      <w:r w:rsidR="0093034F" w:rsidRPr="00641D44">
        <w:rPr>
          <w:rFonts w:ascii="Arial" w:hAnsi="Arial" w:cs="Arial"/>
          <w:color w:val="000000"/>
        </w:rPr>
        <w:t xml:space="preserve">The policy of </w:t>
      </w:r>
      <w:r w:rsidR="000B088A" w:rsidRPr="00641D44">
        <w:rPr>
          <w:rFonts w:ascii="Arial" w:hAnsi="Arial" w:cs="Arial"/>
          <w:color w:val="000000"/>
        </w:rPr>
        <w:t>l</w:t>
      </w:r>
      <w:r w:rsidR="0093034F" w:rsidRPr="00641D44">
        <w:rPr>
          <w:rFonts w:ascii="Arial" w:hAnsi="Arial" w:cs="Arial"/>
          <w:color w:val="000000"/>
        </w:rPr>
        <w:t xml:space="preserve">ocalism was promoted by the </w:t>
      </w:r>
      <w:r w:rsidR="000B088A" w:rsidRPr="00641D44">
        <w:rPr>
          <w:rFonts w:ascii="Arial" w:hAnsi="Arial" w:cs="Arial"/>
          <w:color w:val="000000"/>
        </w:rPr>
        <w:t>g</w:t>
      </w:r>
      <w:r w:rsidR="0093034F" w:rsidRPr="00641D44">
        <w:rPr>
          <w:rFonts w:ascii="Arial" w:hAnsi="Arial" w:cs="Arial"/>
          <w:color w:val="000000"/>
        </w:rPr>
        <w:t xml:space="preserve">overnment as being more than tokenism. It was described by the former Secretary of State (Eric Pickles) as being </w:t>
      </w:r>
      <w:r w:rsidR="0093034F" w:rsidRPr="00641D44">
        <w:rPr>
          <w:rFonts w:ascii="Arial" w:hAnsi="Arial" w:cs="Arial"/>
          <w:i/>
          <w:color w:val="000000"/>
        </w:rPr>
        <w:t>“Red in Tooth and Claw, about passing real power to local communities”</w:t>
      </w:r>
      <w:r w:rsidR="0093034F" w:rsidRPr="00641D44">
        <w:rPr>
          <w:rFonts w:ascii="Arial" w:hAnsi="Arial" w:cs="Arial"/>
          <w:color w:val="000000"/>
        </w:rPr>
        <w:t xml:space="preserve">.   Speaking at Collaton St Mary in December 2019, Robert Jenrick, Secretary of State for Housing. Communities and Local Government reaffirmed the government’s commitment to </w:t>
      </w:r>
      <w:r w:rsidR="000B088A" w:rsidRPr="00641D44">
        <w:rPr>
          <w:rFonts w:ascii="Arial" w:hAnsi="Arial" w:cs="Arial"/>
          <w:color w:val="000000"/>
        </w:rPr>
        <w:t>l</w:t>
      </w:r>
      <w:r w:rsidR="0093034F" w:rsidRPr="00641D44">
        <w:rPr>
          <w:rFonts w:ascii="Arial" w:hAnsi="Arial" w:cs="Arial"/>
          <w:color w:val="000000"/>
        </w:rPr>
        <w:t>ocalism, and the importance of neighbourhood plans and referendum results being respected.</w:t>
      </w:r>
    </w:p>
    <w:p w14:paraId="6333BF8C" w14:textId="77777777" w:rsidR="0093034F" w:rsidRPr="00641D44" w:rsidRDefault="00306346" w:rsidP="003609A7">
      <w:pPr>
        <w:spacing w:before="100" w:beforeAutospacing="1" w:after="100" w:afterAutospacing="1" w:line="360" w:lineRule="auto"/>
        <w:ind w:left="709" w:hanging="709"/>
        <w:jc w:val="both"/>
        <w:rPr>
          <w:rFonts w:ascii="Arial" w:eastAsia="Times New Roman" w:hAnsi="Arial" w:cs="Arial"/>
          <w:color w:val="000000"/>
          <w:lang w:eastAsia="en-GB"/>
        </w:rPr>
      </w:pPr>
      <w:r w:rsidRPr="00641D44">
        <w:rPr>
          <w:rFonts w:ascii="Arial" w:eastAsia="Times New Roman" w:hAnsi="Arial" w:cs="Arial"/>
          <w:color w:val="000000"/>
          <w:lang w:eastAsia="en-GB"/>
        </w:rPr>
        <w:lastRenderedPageBreak/>
        <w:t>7.3</w:t>
      </w:r>
      <w:r w:rsidR="009D7005" w:rsidRPr="00641D44">
        <w:rPr>
          <w:rFonts w:ascii="Arial" w:eastAsia="Times New Roman" w:hAnsi="Arial" w:cs="Arial"/>
          <w:color w:val="000000"/>
          <w:lang w:eastAsia="en-GB"/>
        </w:rPr>
        <w:tab/>
        <w:t xml:space="preserve">The NPPF does not purport to be law, </w:t>
      </w:r>
      <w:r w:rsidR="000B088A" w:rsidRPr="00641D44">
        <w:rPr>
          <w:rFonts w:ascii="Arial" w:eastAsia="Times New Roman" w:hAnsi="Arial" w:cs="Arial"/>
          <w:color w:val="000000"/>
          <w:lang w:eastAsia="en-GB"/>
        </w:rPr>
        <w:t>and it should not be treated as if it were</w:t>
      </w:r>
      <w:r w:rsidR="009D7005" w:rsidRPr="00641D44">
        <w:rPr>
          <w:rFonts w:ascii="Arial" w:eastAsia="Times New Roman" w:hAnsi="Arial" w:cs="Arial"/>
          <w:color w:val="000000"/>
          <w:lang w:eastAsia="en-GB"/>
        </w:rPr>
        <w:t xml:space="preserve">. As a statement of </w:t>
      </w:r>
      <w:r w:rsidR="000B088A" w:rsidRPr="00641D44">
        <w:rPr>
          <w:rFonts w:ascii="Arial" w:eastAsia="Times New Roman" w:hAnsi="Arial" w:cs="Arial"/>
          <w:color w:val="000000"/>
          <w:lang w:eastAsia="en-GB"/>
        </w:rPr>
        <w:t>g</w:t>
      </w:r>
      <w:r w:rsidR="009D7005" w:rsidRPr="00641D44">
        <w:rPr>
          <w:rFonts w:ascii="Arial" w:eastAsia="Times New Roman" w:hAnsi="Arial" w:cs="Arial"/>
          <w:color w:val="000000"/>
          <w:lang w:eastAsia="en-GB"/>
        </w:rPr>
        <w:t xml:space="preserve">overnment policy it is a material consideration that is likely to be given significant weight.  </w:t>
      </w:r>
      <w:r w:rsidR="009D7005" w:rsidRPr="00641D44">
        <w:rPr>
          <w:rFonts w:ascii="Arial" w:hAnsi="Arial" w:cs="Arial"/>
        </w:rPr>
        <w:t xml:space="preserve">Paragraph 11 of the NPPF needs to be read in conjunction with paragraph 12. This confirms what the </w:t>
      </w:r>
      <w:r w:rsidR="000B088A" w:rsidRPr="00641D44">
        <w:rPr>
          <w:rFonts w:ascii="Arial" w:hAnsi="Arial" w:cs="Arial"/>
        </w:rPr>
        <w:t>c</w:t>
      </w:r>
      <w:r w:rsidR="009D7005" w:rsidRPr="00641D44">
        <w:rPr>
          <w:rFonts w:ascii="Arial" w:hAnsi="Arial" w:cs="Arial"/>
        </w:rPr>
        <w:t xml:space="preserve">ourts have repeatedly said, that the NPPF is a material consideration but does not change the statutory status of the development plan as the starting point for decision taking. </w:t>
      </w:r>
      <w:r w:rsidR="009D7005" w:rsidRPr="00641D44">
        <w:rPr>
          <w:rFonts w:ascii="Arial" w:eastAsia="Times New Roman" w:hAnsi="Arial" w:cs="Arial"/>
          <w:color w:val="000000"/>
          <w:lang w:eastAsia="en-GB"/>
        </w:rPr>
        <w:t xml:space="preserve"> The NPPF does not, nor could it, direct LPAs to disregard Neighbourhood Plans even if NPPF paragraph 14 cannot be applied. </w:t>
      </w:r>
    </w:p>
    <w:p w14:paraId="534853B9" w14:textId="77777777" w:rsidR="00B236E8" w:rsidRPr="00641D44" w:rsidRDefault="00306346" w:rsidP="003609A7">
      <w:pPr>
        <w:spacing w:before="100" w:beforeAutospacing="1" w:after="100" w:afterAutospacing="1" w:line="360" w:lineRule="auto"/>
        <w:ind w:left="709" w:hanging="709"/>
        <w:jc w:val="both"/>
        <w:rPr>
          <w:rFonts w:ascii="Arial" w:eastAsia="Times New Roman" w:hAnsi="Arial" w:cs="Arial"/>
          <w:color w:val="000000"/>
          <w:lang w:eastAsia="en-GB"/>
        </w:rPr>
      </w:pPr>
      <w:r w:rsidRPr="00641D44">
        <w:rPr>
          <w:rFonts w:ascii="Arial" w:eastAsia="Times New Roman" w:hAnsi="Arial" w:cs="Arial"/>
          <w:color w:val="000000"/>
          <w:lang w:eastAsia="en-GB"/>
        </w:rPr>
        <w:t>7.4</w:t>
      </w:r>
      <w:r w:rsidR="00B236E8" w:rsidRPr="00641D44">
        <w:rPr>
          <w:rFonts w:ascii="Arial" w:eastAsia="Times New Roman" w:hAnsi="Arial" w:cs="Arial"/>
          <w:color w:val="000000"/>
          <w:lang w:eastAsia="en-GB"/>
        </w:rPr>
        <w:t xml:space="preserve"> </w:t>
      </w:r>
      <w:r w:rsidR="00B236E8" w:rsidRPr="00641D44">
        <w:rPr>
          <w:rFonts w:ascii="Arial" w:eastAsia="Times New Roman" w:hAnsi="Arial" w:cs="Arial"/>
          <w:color w:val="000000"/>
          <w:lang w:eastAsia="en-GB"/>
        </w:rPr>
        <w:tab/>
        <w:t>The 2019 NPPF’s definition of “deliverable” is much stricter than the 2012 definition.  There are significant sites within Torbay which are allocated for development, or which the Council is seeking to bring forward, but (may be) unable to be treated as “deliverable” due to the high bar set</w:t>
      </w:r>
      <w:r w:rsidR="00E43223" w:rsidRPr="00641D44">
        <w:rPr>
          <w:rFonts w:ascii="Arial" w:eastAsia="Times New Roman" w:hAnsi="Arial" w:cs="Arial"/>
          <w:color w:val="000000"/>
          <w:lang w:eastAsia="en-GB"/>
        </w:rPr>
        <w:t xml:space="preserve"> by the 2019 NPPF definition.  </w:t>
      </w:r>
    </w:p>
    <w:p w14:paraId="4FE2CB14" w14:textId="7B131FBC" w:rsidR="002B6AA9" w:rsidRPr="00641D44" w:rsidRDefault="00306346" w:rsidP="003609A7">
      <w:pPr>
        <w:spacing w:before="100" w:beforeAutospacing="1" w:after="100" w:afterAutospacing="1" w:line="360" w:lineRule="auto"/>
        <w:ind w:left="709" w:hanging="709"/>
        <w:jc w:val="both"/>
        <w:rPr>
          <w:rFonts w:ascii="Arial" w:eastAsia="Times New Roman" w:hAnsi="Arial" w:cs="Arial"/>
          <w:color w:val="000000"/>
          <w:lang w:eastAsia="en-GB"/>
        </w:rPr>
      </w:pPr>
      <w:r w:rsidRPr="00641D44">
        <w:rPr>
          <w:rFonts w:ascii="Arial" w:eastAsia="Times New Roman" w:hAnsi="Arial" w:cs="Arial"/>
          <w:color w:val="000000"/>
          <w:lang w:eastAsia="en-GB"/>
        </w:rPr>
        <w:t>7.5</w:t>
      </w:r>
      <w:r w:rsidR="00B236E8" w:rsidRPr="00641D44">
        <w:rPr>
          <w:rFonts w:ascii="Arial" w:eastAsia="Times New Roman" w:hAnsi="Arial" w:cs="Arial"/>
          <w:color w:val="000000"/>
          <w:lang w:eastAsia="en-GB"/>
        </w:rPr>
        <w:t xml:space="preserve"> </w:t>
      </w:r>
      <w:r w:rsidR="00B236E8" w:rsidRPr="00641D44">
        <w:rPr>
          <w:rFonts w:ascii="Arial" w:eastAsia="Times New Roman" w:hAnsi="Arial" w:cs="Arial"/>
          <w:color w:val="000000"/>
          <w:lang w:eastAsia="en-GB"/>
        </w:rPr>
        <w:tab/>
        <w:t xml:space="preserve">Even if a plan or policy is deemed to be “out of date” due to a housing supply shortfall, it is still capable of carrying weight.  The </w:t>
      </w:r>
      <w:r w:rsidR="000B088A" w:rsidRPr="00641D44">
        <w:rPr>
          <w:rFonts w:ascii="Arial" w:eastAsia="Times New Roman" w:hAnsi="Arial" w:cs="Arial"/>
          <w:color w:val="000000"/>
          <w:lang w:eastAsia="en-GB"/>
        </w:rPr>
        <w:t>c</w:t>
      </w:r>
      <w:r w:rsidR="00B236E8" w:rsidRPr="00641D44">
        <w:rPr>
          <w:rFonts w:ascii="Arial" w:eastAsia="Times New Roman" w:hAnsi="Arial" w:cs="Arial"/>
          <w:color w:val="000000"/>
          <w:lang w:eastAsia="en-GB"/>
        </w:rPr>
        <w:t xml:space="preserve">ourts have made the distinction between a plan being deemed out of date by a lack of housing supply, and being assessed as out of date by </w:t>
      </w:r>
      <w:r w:rsidR="002B6AA9" w:rsidRPr="00641D44">
        <w:rPr>
          <w:rFonts w:ascii="Arial" w:eastAsia="Times New Roman" w:hAnsi="Arial" w:cs="Arial"/>
          <w:color w:val="000000"/>
          <w:lang w:eastAsia="en-GB"/>
        </w:rPr>
        <w:t>other factual and policy changes</w:t>
      </w:r>
      <w:r w:rsidR="00F11661" w:rsidRPr="00641D44">
        <w:rPr>
          <w:rFonts w:ascii="Arial" w:eastAsia="Times New Roman" w:hAnsi="Arial" w:cs="Arial"/>
          <w:color w:val="000000"/>
          <w:lang w:eastAsia="en-GB"/>
        </w:rPr>
        <w:t xml:space="preserve">. </w:t>
      </w:r>
      <w:r w:rsidR="002B6AA9" w:rsidRPr="00641D44">
        <w:rPr>
          <w:rFonts w:ascii="Arial" w:eastAsia="Times New Roman" w:hAnsi="Arial" w:cs="Arial"/>
          <w:color w:val="000000"/>
          <w:lang w:eastAsia="en-GB"/>
        </w:rPr>
        <w:t xml:space="preserve"> The weight to be applied to “out of date” policies is a matter for the decision maker.  </w:t>
      </w:r>
      <w:r w:rsidR="002B6AA9" w:rsidRPr="00641D44">
        <w:rPr>
          <w:rFonts w:ascii="Arial" w:hAnsi="Arial" w:cs="Arial"/>
        </w:rPr>
        <w:t>Factors such as consistency with national policy, factual and policy changes and the reasons for a housing shortfall may all be material in considering how far a plan is assessed as being out of date, and accordingly how much weight it is reasonable to give it</w:t>
      </w:r>
      <w:r w:rsidR="00F11661" w:rsidRPr="00641D44">
        <w:rPr>
          <w:rFonts w:ascii="Arial" w:hAnsi="Arial" w:cs="Arial"/>
        </w:rPr>
        <w:t>.  “Out of date” polies may still command substantial weight</w:t>
      </w:r>
      <w:r w:rsidR="00A0731D" w:rsidRPr="00641D44">
        <w:rPr>
          <w:rStyle w:val="FootnoteReference"/>
          <w:rFonts w:ascii="Arial" w:hAnsi="Arial" w:cs="Arial"/>
        </w:rPr>
        <w:footnoteReference w:id="4"/>
      </w:r>
      <w:r w:rsidR="00F11661" w:rsidRPr="00641D44">
        <w:rPr>
          <w:rFonts w:ascii="Arial" w:hAnsi="Arial" w:cs="Arial"/>
        </w:rPr>
        <w:t xml:space="preserve">.  </w:t>
      </w:r>
    </w:p>
    <w:p w14:paraId="18C0AF56" w14:textId="26243945" w:rsidR="00C4481D" w:rsidRPr="00641D44" w:rsidRDefault="00F11661" w:rsidP="00F11661">
      <w:pPr>
        <w:spacing w:before="100" w:beforeAutospacing="1" w:after="100" w:afterAutospacing="1" w:line="360" w:lineRule="auto"/>
        <w:ind w:left="709" w:hanging="709"/>
        <w:jc w:val="both"/>
        <w:rPr>
          <w:rFonts w:ascii="Arial" w:eastAsia="Times New Roman" w:hAnsi="Arial" w:cs="Arial"/>
          <w:color w:val="000000"/>
          <w:lang w:eastAsia="en-GB"/>
        </w:rPr>
      </w:pPr>
      <w:r w:rsidRPr="00641D44">
        <w:rPr>
          <w:rFonts w:ascii="Arial" w:eastAsia="Times New Roman" w:hAnsi="Arial" w:cs="Arial"/>
          <w:color w:val="000000"/>
          <w:lang w:eastAsia="en-GB"/>
        </w:rPr>
        <w:t>7.6</w:t>
      </w:r>
      <w:r w:rsidRPr="00641D44">
        <w:rPr>
          <w:rFonts w:ascii="Arial" w:eastAsia="Times New Roman" w:hAnsi="Arial" w:cs="Arial"/>
          <w:color w:val="000000"/>
          <w:lang w:eastAsia="en-GB"/>
        </w:rPr>
        <w:tab/>
      </w:r>
      <w:r w:rsidR="00B236E8" w:rsidRPr="00641D44">
        <w:rPr>
          <w:rFonts w:ascii="Arial" w:eastAsia="Times New Roman" w:hAnsi="Arial" w:cs="Arial"/>
          <w:color w:val="000000"/>
          <w:lang w:eastAsia="en-GB"/>
        </w:rPr>
        <w:t>In the case of the BP</w:t>
      </w:r>
      <w:r w:rsidR="000B088A" w:rsidRPr="00641D44">
        <w:rPr>
          <w:rFonts w:ascii="Arial" w:eastAsia="Times New Roman" w:hAnsi="Arial" w:cs="Arial"/>
          <w:color w:val="000000"/>
          <w:lang w:eastAsia="en-GB"/>
        </w:rPr>
        <w:t>N</w:t>
      </w:r>
      <w:r w:rsidR="00B236E8" w:rsidRPr="00641D44">
        <w:rPr>
          <w:rFonts w:ascii="Arial" w:eastAsia="Times New Roman" w:hAnsi="Arial" w:cs="Arial"/>
          <w:color w:val="000000"/>
          <w:lang w:eastAsia="en-GB"/>
        </w:rPr>
        <w:t xml:space="preserve">P there is no change in circumstances that would cause it to be assessed as being out of date. </w:t>
      </w:r>
      <w:r w:rsidRPr="00641D44">
        <w:rPr>
          <w:rFonts w:ascii="Arial" w:eastAsia="Times New Roman" w:hAnsi="Arial" w:cs="Arial"/>
          <w:color w:val="000000"/>
          <w:lang w:eastAsia="en-GB"/>
        </w:rPr>
        <w:t xml:space="preserve"> The landscape protection and  </w:t>
      </w:r>
      <w:r w:rsidR="00B236E8" w:rsidRPr="00641D44">
        <w:rPr>
          <w:rFonts w:ascii="Arial" w:eastAsia="Times New Roman" w:hAnsi="Arial" w:cs="Arial"/>
          <w:color w:val="000000"/>
          <w:lang w:eastAsia="en-GB"/>
        </w:rPr>
        <w:t xml:space="preserve">  </w:t>
      </w:r>
    </w:p>
    <w:p w14:paraId="33132287" w14:textId="6BB2138D" w:rsidR="000E31ED" w:rsidRPr="00641D44" w:rsidRDefault="00306346" w:rsidP="003609A7">
      <w:pPr>
        <w:spacing w:line="360" w:lineRule="auto"/>
        <w:ind w:left="720" w:hanging="720"/>
        <w:jc w:val="both"/>
        <w:rPr>
          <w:rFonts w:ascii="Arial" w:hAnsi="Arial" w:cs="Arial"/>
        </w:rPr>
      </w:pPr>
      <w:r w:rsidRPr="00641D44">
        <w:rPr>
          <w:rFonts w:ascii="Arial" w:hAnsi="Arial" w:cs="Arial"/>
        </w:rPr>
        <w:t>7.</w:t>
      </w:r>
      <w:r w:rsidR="00641D44">
        <w:rPr>
          <w:rFonts w:ascii="Arial" w:hAnsi="Arial" w:cs="Arial"/>
        </w:rPr>
        <w:t>7</w:t>
      </w:r>
      <w:r w:rsidR="00725AC9" w:rsidRPr="00641D44">
        <w:rPr>
          <w:rFonts w:ascii="Arial" w:hAnsi="Arial" w:cs="Arial"/>
        </w:rPr>
        <w:tab/>
      </w:r>
      <w:r w:rsidR="00C4481D" w:rsidRPr="00641D44">
        <w:rPr>
          <w:rFonts w:ascii="Arial" w:hAnsi="Arial" w:cs="Arial"/>
        </w:rPr>
        <w:t xml:space="preserve"> </w:t>
      </w:r>
      <w:r w:rsidR="00725AC9" w:rsidRPr="00641D44">
        <w:rPr>
          <w:rFonts w:ascii="Arial" w:hAnsi="Arial" w:cs="Arial"/>
        </w:rPr>
        <w:t xml:space="preserve">For the above reasons, the Neighbourhood Plan should carry very great weight in this instance.  If the Neighbourhood Forums’ contention that there is more than three years’ supply can be demonstrated, then the </w:t>
      </w:r>
      <w:r w:rsidR="000B088A" w:rsidRPr="00641D44">
        <w:rPr>
          <w:rFonts w:ascii="Arial" w:hAnsi="Arial" w:cs="Arial"/>
        </w:rPr>
        <w:t>a</w:t>
      </w:r>
      <w:r w:rsidR="00725AC9" w:rsidRPr="00641D44">
        <w:rPr>
          <w:rFonts w:ascii="Arial" w:hAnsi="Arial" w:cs="Arial"/>
        </w:rPr>
        <w:t xml:space="preserve">egis of </w:t>
      </w:r>
      <w:r w:rsidR="000B088A" w:rsidRPr="00641D44">
        <w:rPr>
          <w:rFonts w:ascii="Arial" w:hAnsi="Arial" w:cs="Arial"/>
        </w:rPr>
        <w:t>p</w:t>
      </w:r>
      <w:r w:rsidR="00725AC9" w:rsidRPr="00641D44">
        <w:rPr>
          <w:rFonts w:ascii="Arial" w:hAnsi="Arial" w:cs="Arial"/>
        </w:rPr>
        <w:t>aragraph 14 of the NPPF is brought to bear</w:t>
      </w:r>
      <w:r w:rsidR="00C22602" w:rsidRPr="00641D44">
        <w:rPr>
          <w:rFonts w:ascii="Arial" w:hAnsi="Arial" w:cs="Arial"/>
        </w:rPr>
        <w:t>, although the LPA does not consider that this is a necessary condition for the BPNP to be given substantial weight</w:t>
      </w:r>
      <w:r w:rsidR="00725AC9" w:rsidRPr="00641D44">
        <w:rPr>
          <w:rFonts w:ascii="Arial" w:hAnsi="Arial" w:cs="Arial"/>
        </w:rPr>
        <w:t xml:space="preserve">.  </w:t>
      </w:r>
    </w:p>
    <w:p w14:paraId="002055EF" w14:textId="77777777" w:rsidR="00BC1087" w:rsidRPr="00641D44" w:rsidRDefault="00E43223" w:rsidP="0072052E">
      <w:pPr>
        <w:spacing w:line="360" w:lineRule="auto"/>
        <w:ind w:left="720" w:hanging="720"/>
        <w:rPr>
          <w:rFonts w:ascii="Arial" w:hAnsi="Arial" w:cs="Arial"/>
          <w:b/>
        </w:rPr>
      </w:pPr>
      <w:r w:rsidRPr="00641D44">
        <w:rPr>
          <w:rFonts w:ascii="Arial" w:hAnsi="Arial" w:cs="Arial"/>
          <w:b/>
        </w:rPr>
        <w:t>8</w:t>
      </w:r>
      <w:r w:rsidR="000E31ED" w:rsidRPr="00641D44">
        <w:rPr>
          <w:rFonts w:ascii="Arial" w:hAnsi="Arial" w:cs="Arial"/>
          <w:b/>
        </w:rPr>
        <w:tab/>
      </w:r>
      <w:r w:rsidR="00BC1087" w:rsidRPr="00641D44">
        <w:rPr>
          <w:rFonts w:ascii="Arial" w:hAnsi="Arial" w:cs="Arial"/>
          <w:b/>
        </w:rPr>
        <w:t xml:space="preserve">Conflict with the Adopted Torbay Local Plan (Reason 2) </w:t>
      </w:r>
    </w:p>
    <w:p w14:paraId="738D70D6" w14:textId="48A0C4D9" w:rsidR="00E43223" w:rsidRPr="00641D44" w:rsidRDefault="00E43223" w:rsidP="0072052E">
      <w:pPr>
        <w:spacing w:line="360" w:lineRule="auto"/>
        <w:ind w:left="720" w:hanging="720"/>
        <w:rPr>
          <w:rFonts w:ascii="Arial" w:hAnsi="Arial" w:cs="Arial"/>
          <w:b/>
        </w:rPr>
      </w:pPr>
      <w:r w:rsidRPr="00641D44">
        <w:rPr>
          <w:rFonts w:ascii="Arial" w:hAnsi="Arial" w:cs="Arial"/>
        </w:rPr>
        <w:t>8.1</w:t>
      </w:r>
      <w:r w:rsidRPr="00641D44">
        <w:rPr>
          <w:rFonts w:ascii="Arial" w:hAnsi="Arial" w:cs="Arial"/>
          <w:b/>
        </w:rPr>
        <w:t xml:space="preserve"> </w:t>
      </w:r>
      <w:r w:rsidR="00F5414E" w:rsidRPr="00641D44">
        <w:rPr>
          <w:rFonts w:ascii="Arial" w:hAnsi="Arial" w:cs="Arial"/>
          <w:b/>
        </w:rPr>
        <w:tab/>
      </w:r>
      <w:r w:rsidRPr="00641D44">
        <w:rPr>
          <w:rFonts w:ascii="Arial" w:hAnsi="Arial" w:cs="Arial"/>
        </w:rPr>
        <w:t>The Council stated conflict with the Local Plan as a second putative reason for refusal.</w:t>
      </w:r>
      <w:r w:rsidRPr="00641D44">
        <w:rPr>
          <w:rFonts w:ascii="Arial" w:hAnsi="Arial" w:cs="Arial"/>
          <w:b/>
        </w:rPr>
        <w:t xml:space="preserve"> </w:t>
      </w:r>
    </w:p>
    <w:p w14:paraId="142EB8BC" w14:textId="77777777" w:rsidR="00A51000" w:rsidRPr="00641D44" w:rsidRDefault="00C4481D" w:rsidP="00E43223">
      <w:pPr>
        <w:spacing w:line="360" w:lineRule="auto"/>
        <w:ind w:left="720"/>
        <w:rPr>
          <w:rFonts w:ascii="Arial" w:eastAsia="Times New Roman" w:hAnsi="Arial" w:cs="Arial"/>
          <w:b/>
          <w:bCs/>
          <w:i/>
          <w:color w:val="000000" w:themeColor="text1"/>
          <w:lang w:eastAsia="en-GB"/>
        </w:rPr>
      </w:pPr>
      <w:r w:rsidRPr="00641D44">
        <w:rPr>
          <w:rFonts w:ascii="Arial" w:hAnsi="Arial" w:cs="Arial"/>
          <w:b/>
          <w:i/>
          <w:color w:val="000000" w:themeColor="text1"/>
        </w:rPr>
        <w:lastRenderedPageBreak/>
        <w:t xml:space="preserve">Reason 2: </w:t>
      </w:r>
      <w:r w:rsidRPr="00641D44">
        <w:rPr>
          <w:rFonts w:ascii="Arial" w:eastAsia="Times New Roman" w:hAnsi="Arial" w:cs="Arial"/>
          <w:b/>
          <w:bCs/>
          <w:i/>
          <w:color w:val="000000" w:themeColor="text1"/>
          <w:lang w:eastAsia="en-GB"/>
        </w:rPr>
        <w:t xml:space="preserve">The proposal constitutes major development outside of the established built up area or Future Growth Area and not identified in a neighbourhood plan, contrary to policies SS2, SS8.3, SDB1, SDB3 and C1 of Torbay Local Plan 2012-30. </w:t>
      </w:r>
    </w:p>
    <w:p w14:paraId="5F71B0E1" w14:textId="77777777" w:rsidR="00C4481D" w:rsidRPr="00641D44" w:rsidRDefault="00E43223" w:rsidP="003609A7">
      <w:pPr>
        <w:spacing w:line="360" w:lineRule="auto"/>
        <w:ind w:left="720" w:hanging="720"/>
        <w:jc w:val="both"/>
        <w:rPr>
          <w:rFonts w:ascii="Arial" w:hAnsi="Arial" w:cs="Arial"/>
        </w:rPr>
      </w:pPr>
      <w:r w:rsidRPr="00641D44">
        <w:rPr>
          <w:rFonts w:ascii="Arial" w:hAnsi="Arial" w:cs="Arial"/>
        </w:rPr>
        <w:t>8</w:t>
      </w:r>
      <w:r w:rsidR="002B008C" w:rsidRPr="00641D44">
        <w:rPr>
          <w:rFonts w:ascii="Arial" w:hAnsi="Arial" w:cs="Arial"/>
        </w:rPr>
        <w:t>.2</w:t>
      </w:r>
      <w:r w:rsidR="002B008C" w:rsidRPr="00641D44">
        <w:rPr>
          <w:rFonts w:ascii="Arial" w:hAnsi="Arial" w:cs="Arial"/>
        </w:rPr>
        <w:tab/>
      </w:r>
      <w:r w:rsidR="00CB5130" w:rsidRPr="00641D44">
        <w:rPr>
          <w:rFonts w:ascii="Arial" w:hAnsi="Arial" w:cs="Arial"/>
        </w:rPr>
        <w:t xml:space="preserve">The proposal conflicts with a number of polices in the adopted Torbay Local Plan. In particular Policy SS2 directs growth to the built up area or allocated “Future Growth Areas”. </w:t>
      </w:r>
      <w:r w:rsidR="00C4481D" w:rsidRPr="00641D44">
        <w:rPr>
          <w:rFonts w:ascii="Arial" w:hAnsi="Arial" w:cs="Arial"/>
        </w:rPr>
        <w:t xml:space="preserve">  It set out that: </w:t>
      </w:r>
    </w:p>
    <w:p w14:paraId="279B8480" w14:textId="77777777" w:rsidR="00C4481D" w:rsidRPr="00641D44" w:rsidRDefault="00C4481D" w:rsidP="0072052E">
      <w:pPr>
        <w:spacing w:line="360" w:lineRule="auto"/>
        <w:ind w:left="1134"/>
        <w:rPr>
          <w:rFonts w:ascii="Arial" w:eastAsia="Times New Roman" w:hAnsi="Arial" w:cs="Arial"/>
          <w:b/>
          <w:bCs/>
          <w:i/>
          <w:lang w:eastAsia="en-GB"/>
        </w:rPr>
      </w:pPr>
      <w:r w:rsidRPr="00641D44">
        <w:rPr>
          <w:rFonts w:ascii="Arial" w:hAnsi="Arial" w:cs="Arial"/>
          <w:i/>
        </w:rPr>
        <w:t xml:space="preserve">“Major development outside of these areas will only be permitted where the site has been identified by the relevant Neighbourhood Plan or a subsequent development plan document….” </w:t>
      </w:r>
    </w:p>
    <w:p w14:paraId="1436F766" w14:textId="037E9CB3" w:rsidR="004A77CC" w:rsidRPr="00641D44" w:rsidRDefault="00E43223" w:rsidP="003609A7">
      <w:pPr>
        <w:spacing w:line="360" w:lineRule="auto"/>
        <w:ind w:left="720" w:hanging="720"/>
        <w:jc w:val="both"/>
        <w:rPr>
          <w:rFonts w:ascii="Arial" w:hAnsi="Arial" w:cs="Arial"/>
        </w:rPr>
      </w:pPr>
      <w:r w:rsidRPr="00641D44">
        <w:rPr>
          <w:rFonts w:ascii="Arial" w:hAnsi="Arial" w:cs="Arial"/>
        </w:rPr>
        <w:t>8</w:t>
      </w:r>
      <w:r w:rsidR="006C07D0" w:rsidRPr="00641D44">
        <w:rPr>
          <w:rFonts w:ascii="Arial" w:hAnsi="Arial" w:cs="Arial"/>
        </w:rPr>
        <w:t>.3</w:t>
      </w:r>
      <w:r w:rsidR="00C4481D" w:rsidRPr="00641D44">
        <w:rPr>
          <w:rFonts w:ascii="Arial" w:hAnsi="Arial" w:cs="Arial"/>
        </w:rPr>
        <w:tab/>
        <w:t xml:space="preserve">Policy C1 designates the area as countryside. </w:t>
      </w:r>
      <w:r w:rsidR="004A77CC" w:rsidRPr="00641D44">
        <w:rPr>
          <w:rFonts w:ascii="Arial" w:hAnsi="Arial" w:cs="Arial"/>
        </w:rPr>
        <w:t xml:space="preserve"> This directs development to Future Growth Areas, and only permits a relatively limited list of developments in the countryside. </w:t>
      </w:r>
      <w:r w:rsidR="007110AE" w:rsidRPr="00641D44">
        <w:rPr>
          <w:rFonts w:ascii="Arial" w:hAnsi="Arial" w:cs="Arial"/>
        </w:rPr>
        <w:t xml:space="preserve">  In the context of Policy C1 it is worth noting that the Key Diagram on page 45 of the Local Plan includes much of the Inglewood site as within the indicative SDP3.5 </w:t>
      </w:r>
      <w:r w:rsidR="00870FFC" w:rsidRPr="00641D44">
        <w:rPr>
          <w:rFonts w:ascii="Arial" w:hAnsi="Arial" w:cs="Arial"/>
        </w:rPr>
        <w:t>Paignton</w:t>
      </w:r>
      <w:r w:rsidR="007110AE" w:rsidRPr="00641D44">
        <w:rPr>
          <w:rFonts w:ascii="Arial" w:hAnsi="Arial" w:cs="Arial"/>
        </w:rPr>
        <w:t xml:space="preserve"> North and Western “strategic delivery are</w:t>
      </w:r>
      <w:r w:rsidR="0067498E" w:rsidRPr="00641D44">
        <w:rPr>
          <w:rFonts w:ascii="Arial" w:hAnsi="Arial" w:cs="Arial"/>
        </w:rPr>
        <w:t>a</w:t>
      </w:r>
      <w:r w:rsidR="000E31ED" w:rsidRPr="00641D44">
        <w:rPr>
          <w:rFonts w:ascii="Arial" w:hAnsi="Arial" w:cs="Arial"/>
        </w:rPr>
        <w:t>”</w:t>
      </w:r>
      <w:r w:rsidR="000112FC" w:rsidRPr="00641D44">
        <w:rPr>
          <w:rFonts w:ascii="Arial" w:hAnsi="Arial" w:cs="Arial"/>
        </w:rPr>
        <w:t xml:space="preserve">. Nevertheless it is </w:t>
      </w:r>
      <w:r w:rsidR="0067498E" w:rsidRPr="00641D44">
        <w:rPr>
          <w:rFonts w:ascii="Arial" w:hAnsi="Arial" w:cs="Arial"/>
        </w:rPr>
        <w:t>outside of the more precisely mapped “Future Growth Area”.</w:t>
      </w:r>
      <w:r w:rsidR="00870FFC" w:rsidRPr="00641D44">
        <w:rPr>
          <w:rFonts w:ascii="Arial" w:hAnsi="Arial" w:cs="Arial"/>
        </w:rPr>
        <w:t xml:space="preserve">  </w:t>
      </w:r>
      <w:r w:rsidR="000E31ED" w:rsidRPr="00641D44">
        <w:rPr>
          <w:rFonts w:ascii="Arial" w:hAnsi="Arial" w:cs="Arial"/>
        </w:rPr>
        <w:t>The Policies Map also shows the</w:t>
      </w:r>
      <w:r w:rsidR="00870FFC" w:rsidRPr="00641D44">
        <w:rPr>
          <w:rFonts w:ascii="Arial" w:hAnsi="Arial" w:cs="Arial"/>
        </w:rPr>
        <w:t xml:space="preserve"> site as being within the Countryside</w:t>
      </w:r>
      <w:r w:rsidR="000112FC" w:rsidRPr="00641D44">
        <w:rPr>
          <w:rFonts w:ascii="Arial" w:hAnsi="Arial" w:cs="Arial"/>
        </w:rPr>
        <w:t xml:space="preserve"> Area (Policy C1)</w:t>
      </w:r>
      <w:r w:rsidR="00870FFC" w:rsidRPr="00641D44">
        <w:rPr>
          <w:rFonts w:ascii="Arial" w:hAnsi="Arial" w:cs="Arial"/>
        </w:rPr>
        <w:t xml:space="preserve">. </w:t>
      </w:r>
      <w:r w:rsidR="0067498E" w:rsidRPr="00641D44">
        <w:rPr>
          <w:rFonts w:ascii="Arial" w:hAnsi="Arial" w:cs="Arial"/>
        </w:rPr>
        <w:t xml:space="preserve"> </w:t>
      </w:r>
      <w:r w:rsidR="00CA3A31" w:rsidRPr="00641D44">
        <w:rPr>
          <w:rFonts w:ascii="Arial" w:hAnsi="Arial" w:cs="Arial"/>
        </w:rPr>
        <w:t>Policy C1 requires that d</w:t>
      </w:r>
      <w:r w:rsidR="004A77CC" w:rsidRPr="00641D44">
        <w:rPr>
          <w:rFonts w:ascii="Arial" w:hAnsi="Arial" w:cs="Arial"/>
        </w:rPr>
        <w:t>evelopment should have regard to the Landscape Character Assessment (</w:t>
      </w:r>
      <w:r w:rsidR="00D16ACD" w:rsidRPr="00641D44">
        <w:rPr>
          <w:rFonts w:ascii="Arial" w:hAnsi="Arial" w:cs="Arial"/>
        </w:rPr>
        <w:t>CD</w:t>
      </w:r>
      <w:r w:rsidR="005B17EE" w:rsidRPr="00641D44">
        <w:rPr>
          <w:rFonts w:ascii="Arial" w:hAnsi="Arial" w:cs="Arial"/>
        </w:rPr>
        <w:t>6.1 and 6.2</w:t>
      </w:r>
      <w:r w:rsidR="002B008C" w:rsidRPr="00641D44">
        <w:rPr>
          <w:rFonts w:ascii="Arial" w:hAnsi="Arial" w:cs="Arial"/>
        </w:rPr>
        <w:t>)</w:t>
      </w:r>
      <w:r w:rsidRPr="00641D44">
        <w:rPr>
          <w:rFonts w:ascii="Arial" w:hAnsi="Arial" w:cs="Arial"/>
        </w:rPr>
        <w:t>.</w:t>
      </w:r>
      <w:r w:rsidR="004A77CC" w:rsidRPr="00641D44">
        <w:rPr>
          <w:rFonts w:ascii="Arial" w:hAnsi="Arial" w:cs="Arial"/>
        </w:rPr>
        <w:t xml:space="preserve"> </w:t>
      </w:r>
    </w:p>
    <w:p w14:paraId="1BBDAFD1" w14:textId="26B20D60" w:rsidR="00E43223" w:rsidRPr="00641D44" w:rsidRDefault="00CF64A9" w:rsidP="003609A7">
      <w:pPr>
        <w:spacing w:after="0" w:line="360" w:lineRule="auto"/>
        <w:ind w:left="720" w:hanging="720"/>
        <w:jc w:val="both"/>
        <w:rPr>
          <w:rFonts w:ascii="Arial" w:hAnsi="Arial" w:cs="Arial"/>
        </w:rPr>
      </w:pPr>
      <w:r w:rsidRPr="00641D44">
        <w:rPr>
          <w:rFonts w:ascii="Arial" w:hAnsi="Arial" w:cs="Arial"/>
        </w:rPr>
        <w:t>8</w:t>
      </w:r>
      <w:r w:rsidR="006C07D0" w:rsidRPr="00641D44">
        <w:rPr>
          <w:rFonts w:ascii="Arial" w:hAnsi="Arial" w:cs="Arial"/>
        </w:rPr>
        <w:t>.4</w:t>
      </w:r>
      <w:r w:rsidR="004A77CC" w:rsidRPr="00641D44">
        <w:rPr>
          <w:rFonts w:ascii="Arial" w:hAnsi="Arial" w:cs="Arial"/>
        </w:rPr>
        <w:tab/>
      </w:r>
      <w:r w:rsidR="000E31ED" w:rsidRPr="00641D44">
        <w:rPr>
          <w:rFonts w:ascii="Arial" w:hAnsi="Arial" w:cs="Arial"/>
        </w:rPr>
        <w:t xml:space="preserve">Local Plan </w:t>
      </w:r>
      <w:r w:rsidR="00CB5130" w:rsidRPr="00641D44">
        <w:rPr>
          <w:rFonts w:ascii="Arial" w:hAnsi="Arial" w:cs="Arial"/>
        </w:rPr>
        <w:t>Policy SS8.3 seeks to protect the setting of the AONB</w:t>
      </w:r>
      <w:r w:rsidR="00D609B6" w:rsidRPr="00641D44">
        <w:rPr>
          <w:rFonts w:ascii="Arial" w:hAnsi="Arial" w:cs="Arial"/>
        </w:rPr>
        <w:t xml:space="preserve"> in order to prevent harm to the natural beauty of the AONB</w:t>
      </w:r>
      <w:r w:rsidR="004A77CC" w:rsidRPr="00641D44">
        <w:rPr>
          <w:rFonts w:ascii="Arial" w:hAnsi="Arial" w:cs="Arial"/>
        </w:rPr>
        <w:t xml:space="preserve"> </w:t>
      </w:r>
      <w:r w:rsidR="00D609B6" w:rsidRPr="00641D44">
        <w:rPr>
          <w:rFonts w:ascii="Arial" w:hAnsi="Arial" w:cs="Arial"/>
        </w:rPr>
        <w:t>or other valued landscapes</w:t>
      </w:r>
      <w:r w:rsidR="00E43223" w:rsidRPr="00641D44">
        <w:rPr>
          <w:rFonts w:ascii="Arial" w:hAnsi="Arial" w:cs="Arial"/>
        </w:rPr>
        <w:t>.</w:t>
      </w:r>
      <w:r w:rsidR="009D3E1C" w:rsidRPr="00641D44">
        <w:rPr>
          <w:rFonts w:ascii="Arial" w:hAnsi="Arial" w:cs="Arial"/>
        </w:rPr>
        <w:t xml:space="preserve"> </w:t>
      </w:r>
    </w:p>
    <w:p w14:paraId="570E9B66" w14:textId="77777777" w:rsidR="00E43223" w:rsidRPr="00641D44" w:rsidRDefault="00E43223" w:rsidP="003609A7">
      <w:pPr>
        <w:spacing w:after="0" w:line="360" w:lineRule="auto"/>
        <w:ind w:left="720" w:hanging="720"/>
        <w:jc w:val="both"/>
        <w:rPr>
          <w:rFonts w:ascii="Arial" w:hAnsi="Arial" w:cs="Arial"/>
        </w:rPr>
      </w:pPr>
    </w:p>
    <w:p w14:paraId="718156E2" w14:textId="77777777" w:rsidR="00DC7C22" w:rsidRPr="00641D44" w:rsidRDefault="00CF64A9" w:rsidP="003609A7">
      <w:pPr>
        <w:spacing w:after="0" w:line="360" w:lineRule="auto"/>
        <w:ind w:left="720" w:hanging="720"/>
        <w:jc w:val="both"/>
        <w:rPr>
          <w:rFonts w:ascii="Arial" w:eastAsia="Times New Roman" w:hAnsi="Arial" w:cs="Arial"/>
          <w:color w:val="000000"/>
          <w:lang w:eastAsia="en-GB"/>
        </w:rPr>
      </w:pPr>
      <w:r w:rsidRPr="00641D44">
        <w:rPr>
          <w:rFonts w:ascii="Arial" w:hAnsi="Arial" w:cs="Arial"/>
        </w:rPr>
        <w:t>8</w:t>
      </w:r>
      <w:r w:rsidR="00E43223" w:rsidRPr="00641D44">
        <w:rPr>
          <w:rFonts w:ascii="Arial" w:hAnsi="Arial" w:cs="Arial"/>
        </w:rPr>
        <w:t>.5</w:t>
      </w:r>
      <w:r w:rsidR="00E43223" w:rsidRPr="00641D44">
        <w:rPr>
          <w:rFonts w:ascii="Arial" w:hAnsi="Arial" w:cs="Arial"/>
        </w:rPr>
        <w:tab/>
      </w:r>
      <w:r w:rsidR="00CB5130" w:rsidRPr="00641D44">
        <w:rPr>
          <w:rFonts w:ascii="Arial" w:hAnsi="Arial" w:cs="Arial"/>
        </w:rPr>
        <w:t xml:space="preserve">Policies SS12, SDB1 and SDB3 set out a broad spatial strategy for Brixham with a housing requirement of 660 dwellings </w:t>
      </w:r>
      <w:proofErr w:type="gramStart"/>
      <w:r w:rsidR="00CB5130" w:rsidRPr="00641D44">
        <w:rPr>
          <w:rFonts w:ascii="Arial" w:hAnsi="Arial" w:cs="Arial"/>
        </w:rPr>
        <w:t>between 2012-30</w:t>
      </w:r>
      <w:proofErr w:type="gramEnd"/>
      <w:r w:rsidR="00CB5130" w:rsidRPr="00641D44">
        <w:rPr>
          <w:rFonts w:ascii="Arial" w:hAnsi="Arial" w:cs="Arial"/>
        </w:rPr>
        <w:t>.  This is the lowest of the three Neighbourhood Plan areas, in r</w:t>
      </w:r>
      <w:r w:rsidR="004A77CC" w:rsidRPr="00641D44">
        <w:rPr>
          <w:rFonts w:ascii="Arial" w:hAnsi="Arial" w:cs="Arial"/>
        </w:rPr>
        <w:t>ecognition of the SAC, AONB</w:t>
      </w:r>
      <w:r w:rsidR="000B088A" w:rsidRPr="00641D44">
        <w:rPr>
          <w:rFonts w:ascii="Arial" w:hAnsi="Arial" w:cs="Arial"/>
        </w:rPr>
        <w:t>,</w:t>
      </w:r>
      <w:r w:rsidR="004A77CC" w:rsidRPr="00641D44">
        <w:rPr>
          <w:rFonts w:ascii="Arial" w:hAnsi="Arial" w:cs="Arial"/>
        </w:rPr>
        <w:t xml:space="preserve"> and the </w:t>
      </w:r>
      <w:proofErr w:type="spellStart"/>
      <w:r w:rsidR="00CB5130" w:rsidRPr="00641D44">
        <w:rPr>
          <w:rFonts w:ascii="Arial" w:hAnsi="Arial" w:cs="Arial"/>
        </w:rPr>
        <w:t>peripherality</w:t>
      </w:r>
      <w:proofErr w:type="spellEnd"/>
      <w:r w:rsidR="00CB5130" w:rsidRPr="00641D44">
        <w:rPr>
          <w:rFonts w:ascii="Arial" w:hAnsi="Arial" w:cs="Arial"/>
        </w:rPr>
        <w:t xml:space="preserve"> of the Peninsula.  </w:t>
      </w:r>
      <w:r w:rsidR="00B05DA4" w:rsidRPr="00641D44">
        <w:rPr>
          <w:rFonts w:ascii="Arial" w:eastAsia="Times New Roman" w:hAnsi="Arial" w:cs="Arial"/>
          <w:color w:val="000000"/>
          <w:lang w:eastAsia="en-GB"/>
        </w:rPr>
        <w:t xml:space="preserve">Including the site would represent a significant change for the policy of relative restraint in the Brixham Peninsula set out in Local Plan Policy SDB1. </w:t>
      </w:r>
      <w:r w:rsidR="008E5FB2" w:rsidRPr="00641D44">
        <w:rPr>
          <w:rFonts w:ascii="Arial" w:eastAsia="Times New Roman" w:hAnsi="Arial" w:cs="Arial"/>
          <w:color w:val="000000"/>
          <w:lang w:eastAsia="en-GB"/>
        </w:rPr>
        <w:t xml:space="preserve"> The Local Plan </w:t>
      </w:r>
      <w:r w:rsidR="00E43223" w:rsidRPr="00641D44">
        <w:rPr>
          <w:rFonts w:ascii="Arial" w:eastAsia="Times New Roman" w:hAnsi="Arial" w:cs="Arial"/>
          <w:color w:val="000000"/>
          <w:lang w:eastAsia="en-GB"/>
        </w:rPr>
        <w:t xml:space="preserve">also </w:t>
      </w:r>
      <w:r w:rsidR="008E5FB2" w:rsidRPr="00641D44">
        <w:rPr>
          <w:rFonts w:ascii="Arial" w:eastAsia="Times New Roman" w:hAnsi="Arial" w:cs="Arial"/>
          <w:color w:val="000000"/>
          <w:lang w:eastAsia="en-GB"/>
        </w:rPr>
        <w:t>seeks to focus on regeneration of brownfield sites (Policies SS12 and H1).</w:t>
      </w:r>
    </w:p>
    <w:p w14:paraId="666C73EA" w14:textId="7C59CBC8" w:rsidR="000E31ED" w:rsidRPr="00641D44" w:rsidRDefault="00DC7C22" w:rsidP="003609A7">
      <w:pPr>
        <w:spacing w:after="0" w:line="360" w:lineRule="auto"/>
        <w:ind w:left="720" w:hanging="720"/>
        <w:jc w:val="both"/>
        <w:rPr>
          <w:rFonts w:ascii="Arial" w:eastAsia="Times New Roman" w:hAnsi="Arial" w:cs="Arial"/>
          <w:color w:val="000000"/>
          <w:lang w:eastAsia="en-GB"/>
        </w:rPr>
      </w:pPr>
      <w:r w:rsidRPr="00641D44">
        <w:rPr>
          <w:rFonts w:ascii="Arial" w:eastAsia="Times New Roman" w:hAnsi="Arial" w:cs="Arial"/>
          <w:color w:val="000000"/>
          <w:lang w:eastAsia="en-GB"/>
        </w:rPr>
        <w:t>8.6</w:t>
      </w:r>
      <w:r w:rsidRPr="00641D44">
        <w:rPr>
          <w:rFonts w:ascii="Arial" w:eastAsia="Times New Roman" w:hAnsi="Arial" w:cs="Arial"/>
          <w:color w:val="000000"/>
          <w:lang w:eastAsia="en-GB"/>
        </w:rPr>
        <w:tab/>
        <w:t xml:space="preserve">Policy SS9.3 of the Local Plan proposes a Countryside Access and Enhancement Scheme on the northern part of the appeal site.  This has not been cited as </w:t>
      </w:r>
      <w:r w:rsidR="00AF04D4" w:rsidRPr="00641D44">
        <w:rPr>
          <w:rFonts w:ascii="Arial" w:eastAsia="Times New Roman" w:hAnsi="Arial" w:cs="Arial"/>
          <w:color w:val="000000"/>
          <w:lang w:eastAsia="en-GB"/>
        </w:rPr>
        <w:t>a putative</w:t>
      </w:r>
      <w:r w:rsidRPr="00641D44">
        <w:rPr>
          <w:rFonts w:ascii="Arial" w:eastAsia="Times New Roman" w:hAnsi="Arial" w:cs="Arial"/>
          <w:color w:val="000000"/>
          <w:lang w:eastAsia="en-GB"/>
        </w:rPr>
        <w:t xml:space="preserve"> reason for </w:t>
      </w:r>
      <w:r w:rsidR="00AF04D4" w:rsidRPr="00641D44">
        <w:rPr>
          <w:rFonts w:ascii="Arial" w:eastAsia="Times New Roman" w:hAnsi="Arial" w:cs="Arial"/>
          <w:color w:val="000000"/>
          <w:lang w:eastAsia="en-GB"/>
        </w:rPr>
        <w:t>refusal, because</w:t>
      </w:r>
      <w:r w:rsidRPr="00641D44">
        <w:rPr>
          <w:rFonts w:ascii="Arial" w:eastAsia="Times New Roman" w:hAnsi="Arial" w:cs="Arial"/>
          <w:color w:val="000000"/>
          <w:lang w:eastAsia="en-GB"/>
        </w:rPr>
        <w:t xml:space="preserve"> of the green infrastructure measures incorporated into the proposed development.  However, it does demonstrate that the LPA has </w:t>
      </w:r>
      <w:r w:rsidR="00AF04D4" w:rsidRPr="00641D44">
        <w:rPr>
          <w:rFonts w:ascii="Arial" w:eastAsia="Times New Roman" w:hAnsi="Arial" w:cs="Arial"/>
          <w:color w:val="000000"/>
          <w:lang w:eastAsia="en-GB"/>
        </w:rPr>
        <w:t xml:space="preserve">agreed development up to the ridge of high ground at White Rock, but that the Local Plan (and </w:t>
      </w:r>
      <w:r w:rsidR="00AF04D4" w:rsidRPr="00641D44">
        <w:rPr>
          <w:rFonts w:ascii="Arial" w:eastAsia="Times New Roman" w:hAnsi="Arial" w:cs="Arial"/>
          <w:color w:val="000000"/>
          <w:lang w:eastAsia="en-GB"/>
        </w:rPr>
        <w:lastRenderedPageBreak/>
        <w:t xml:space="preserve">negotiations on Whiter Rock phase 1) envisaged the appeal site to be for countryside management and access.  </w:t>
      </w:r>
    </w:p>
    <w:p w14:paraId="69A7CC5F" w14:textId="77777777" w:rsidR="00661F59" w:rsidRPr="00641D44" w:rsidRDefault="00661F59" w:rsidP="00661F59">
      <w:pPr>
        <w:spacing w:after="0" w:line="360" w:lineRule="auto"/>
        <w:ind w:left="720" w:hanging="720"/>
        <w:rPr>
          <w:rFonts w:ascii="Arial" w:hAnsi="Arial" w:cs="Arial"/>
          <w:b/>
        </w:rPr>
      </w:pPr>
    </w:p>
    <w:p w14:paraId="655835B8" w14:textId="1D542352" w:rsidR="003810B5" w:rsidRPr="00641D44" w:rsidRDefault="00CF64A9" w:rsidP="003609A7">
      <w:pPr>
        <w:spacing w:line="360" w:lineRule="auto"/>
        <w:ind w:left="720" w:hanging="720"/>
        <w:jc w:val="both"/>
        <w:rPr>
          <w:rFonts w:ascii="Arial" w:hAnsi="Arial" w:cs="Arial"/>
        </w:rPr>
      </w:pPr>
      <w:r w:rsidRPr="00641D44">
        <w:rPr>
          <w:rFonts w:ascii="Arial" w:hAnsi="Arial" w:cs="Arial"/>
        </w:rPr>
        <w:t>8</w:t>
      </w:r>
      <w:r w:rsidR="006C07D0" w:rsidRPr="00641D44">
        <w:rPr>
          <w:rFonts w:ascii="Arial" w:hAnsi="Arial" w:cs="Arial"/>
        </w:rPr>
        <w:t>.</w:t>
      </w:r>
      <w:r w:rsidR="00AF04D4" w:rsidRPr="00641D44">
        <w:rPr>
          <w:rFonts w:ascii="Arial" w:hAnsi="Arial" w:cs="Arial"/>
        </w:rPr>
        <w:t>7</w:t>
      </w:r>
      <w:r w:rsidR="00CB5130" w:rsidRPr="00641D44">
        <w:rPr>
          <w:rFonts w:ascii="Arial" w:hAnsi="Arial" w:cs="Arial"/>
        </w:rPr>
        <w:tab/>
      </w:r>
      <w:r w:rsidR="004A77CC" w:rsidRPr="00641D44">
        <w:rPr>
          <w:rFonts w:ascii="Arial" w:hAnsi="Arial" w:cs="Arial"/>
        </w:rPr>
        <w:t>It is recognised that there</w:t>
      </w:r>
      <w:r w:rsidR="00CB5130" w:rsidRPr="00641D44">
        <w:rPr>
          <w:rFonts w:ascii="Arial" w:hAnsi="Arial" w:cs="Arial"/>
        </w:rPr>
        <w:t xml:space="preserve"> are countervailing policies in the Local Plan </w:t>
      </w:r>
      <w:r w:rsidR="00E43223" w:rsidRPr="00641D44">
        <w:rPr>
          <w:rFonts w:ascii="Arial" w:hAnsi="Arial" w:cs="Arial"/>
        </w:rPr>
        <w:t>intended</w:t>
      </w:r>
      <w:r w:rsidR="00CB5130" w:rsidRPr="00641D44">
        <w:rPr>
          <w:rFonts w:ascii="Arial" w:hAnsi="Arial" w:cs="Arial"/>
        </w:rPr>
        <w:t xml:space="preserve"> to boost housing supply, particularly Policies SS3</w:t>
      </w:r>
      <w:r w:rsidR="008E5FB2" w:rsidRPr="00641D44">
        <w:rPr>
          <w:rFonts w:ascii="Arial" w:hAnsi="Arial" w:cs="Arial"/>
        </w:rPr>
        <w:t>, SS12,</w:t>
      </w:r>
      <w:r w:rsidR="00CB5130" w:rsidRPr="00641D44">
        <w:rPr>
          <w:rFonts w:ascii="Arial" w:hAnsi="Arial" w:cs="Arial"/>
        </w:rPr>
        <w:t xml:space="preserve"> SS13</w:t>
      </w:r>
      <w:r w:rsidR="00AF04D4" w:rsidRPr="00641D44">
        <w:rPr>
          <w:rFonts w:ascii="Arial" w:hAnsi="Arial" w:cs="Arial"/>
        </w:rPr>
        <w:t>,</w:t>
      </w:r>
      <w:r w:rsidR="008E5FB2" w:rsidRPr="00641D44">
        <w:rPr>
          <w:rFonts w:ascii="Arial" w:hAnsi="Arial" w:cs="Arial"/>
        </w:rPr>
        <w:t xml:space="preserve"> H1</w:t>
      </w:r>
      <w:r w:rsidR="00AF04D4" w:rsidRPr="00641D44">
        <w:rPr>
          <w:rFonts w:ascii="Arial" w:hAnsi="Arial" w:cs="Arial"/>
        </w:rPr>
        <w:t xml:space="preserve"> and H2</w:t>
      </w:r>
      <w:r w:rsidR="00CB5130" w:rsidRPr="00641D44">
        <w:rPr>
          <w:rFonts w:ascii="Arial" w:hAnsi="Arial" w:cs="Arial"/>
        </w:rPr>
        <w:t>.</w:t>
      </w:r>
      <w:r w:rsidR="00870FFC" w:rsidRPr="00641D44">
        <w:rPr>
          <w:rFonts w:ascii="Arial" w:hAnsi="Arial" w:cs="Arial"/>
        </w:rPr>
        <w:t xml:space="preserve"> </w:t>
      </w:r>
      <w:r w:rsidR="00E275B0" w:rsidRPr="00641D44">
        <w:rPr>
          <w:rFonts w:ascii="Arial" w:hAnsi="Arial" w:cs="Arial"/>
        </w:rPr>
        <w:t xml:space="preserve"> The LPA has accepted that it cannot demonstrate five years of deliverable housing land</w:t>
      </w:r>
      <w:r w:rsidR="008E5FB2" w:rsidRPr="00641D44">
        <w:rPr>
          <w:rFonts w:ascii="Arial" w:hAnsi="Arial" w:cs="Arial"/>
        </w:rPr>
        <w:t xml:space="preserve">; and that accordingly increased weight must be given to polices that seek to boost housing supply. </w:t>
      </w:r>
      <w:r w:rsidR="002B008C" w:rsidRPr="00641D44">
        <w:rPr>
          <w:rFonts w:ascii="Arial" w:hAnsi="Arial" w:cs="Arial"/>
        </w:rPr>
        <w:t xml:space="preserve"> </w:t>
      </w:r>
      <w:r w:rsidR="003810B5" w:rsidRPr="00641D44">
        <w:rPr>
          <w:rFonts w:ascii="Arial" w:eastAsia="Times New Roman" w:hAnsi="Arial" w:cs="Arial"/>
          <w:color w:val="000000"/>
          <w:lang w:eastAsia="en-GB"/>
        </w:rPr>
        <w:t>Other benefits of th</w:t>
      </w:r>
      <w:r w:rsidR="002B008C" w:rsidRPr="00641D44">
        <w:rPr>
          <w:rFonts w:ascii="Arial" w:eastAsia="Times New Roman" w:hAnsi="Arial" w:cs="Arial"/>
          <w:color w:val="000000"/>
          <w:lang w:eastAsia="en-GB"/>
        </w:rPr>
        <w:t>e scheme, including employment</w:t>
      </w:r>
      <w:r w:rsidR="00E43223" w:rsidRPr="00641D44">
        <w:rPr>
          <w:rFonts w:ascii="Arial" w:eastAsia="Times New Roman" w:hAnsi="Arial" w:cs="Arial"/>
          <w:color w:val="000000"/>
          <w:lang w:eastAsia="en-GB"/>
        </w:rPr>
        <w:t xml:space="preserve"> and education</w:t>
      </w:r>
      <w:r w:rsidR="002B008C" w:rsidRPr="00641D44">
        <w:rPr>
          <w:rFonts w:ascii="Arial" w:eastAsia="Times New Roman" w:hAnsi="Arial" w:cs="Arial"/>
          <w:color w:val="000000"/>
          <w:lang w:eastAsia="en-GB"/>
        </w:rPr>
        <w:t xml:space="preserve"> also draw support from Local Plan Policies (e.g. SS4</w:t>
      </w:r>
      <w:r w:rsidR="00E43223" w:rsidRPr="00641D44">
        <w:rPr>
          <w:rFonts w:ascii="Arial" w:eastAsia="Times New Roman" w:hAnsi="Arial" w:cs="Arial"/>
          <w:color w:val="000000"/>
          <w:lang w:eastAsia="en-GB"/>
        </w:rPr>
        <w:t>,</w:t>
      </w:r>
      <w:r w:rsidR="002B008C" w:rsidRPr="00641D44">
        <w:rPr>
          <w:rFonts w:ascii="Arial" w:eastAsia="Times New Roman" w:hAnsi="Arial" w:cs="Arial"/>
          <w:color w:val="000000"/>
          <w:lang w:eastAsia="en-GB"/>
        </w:rPr>
        <w:t xml:space="preserve"> SS5</w:t>
      </w:r>
      <w:r w:rsidR="00E43223" w:rsidRPr="00641D44">
        <w:rPr>
          <w:rFonts w:ascii="Arial" w:eastAsia="Times New Roman" w:hAnsi="Arial" w:cs="Arial"/>
          <w:color w:val="000000"/>
          <w:lang w:eastAsia="en-GB"/>
        </w:rPr>
        <w:t xml:space="preserve"> and SC3</w:t>
      </w:r>
      <w:r w:rsidR="002B008C" w:rsidRPr="00641D44">
        <w:rPr>
          <w:rFonts w:ascii="Arial" w:eastAsia="Times New Roman" w:hAnsi="Arial" w:cs="Arial"/>
          <w:color w:val="000000"/>
          <w:lang w:eastAsia="en-GB"/>
        </w:rPr>
        <w:t>)</w:t>
      </w:r>
      <w:r w:rsidR="00E43223" w:rsidRPr="00641D44">
        <w:rPr>
          <w:rFonts w:ascii="Arial" w:eastAsia="Times New Roman" w:hAnsi="Arial" w:cs="Arial"/>
          <w:color w:val="000000"/>
          <w:lang w:eastAsia="en-GB"/>
        </w:rPr>
        <w:t xml:space="preserve">. </w:t>
      </w:r>
    </w:p>
    <w:p w14:paraId="0411D28D" w14:textId="106AEB8B" w:rsidR="00C30D59" w:rsidRPr="00641D44" w:rsidRDefault="00CF64A9" w:rsidP="003609A7">
      <w:pPr>
        <w:spacing w:line="360" w:lineRule="auto"/>
        <w:ind w:left="720" w:hanging="720"/>
        <w:jc w:val="both"/>
        <w:rPr>
          <w:rFonts w:ascii="Arial" w:hAnsi="Arial" w:cs="Arial"/>
        </w:rPr>
      </w:pPr>
      <w:r w:rsidRPr="00641D44">
        <w:rPr>
          <w:rFonts w:ascii="Arial" w:hAnsi="Arial" w:cs="Arial"/>
        </w:rPr>
        <w:t>8</w:t>
      </w:r>
      <w:r w:rsidR="003810B5" w:rsidRPr="00641D44">
        <w:rPr>
          <w:rFonts w:ascii="Arial" w:hAnsi="Arial" w:cs="Arial"/>
        </w:rPr>
        <w:t>.</w:t>
      </w:r>
      <w:r w:rsidR="00AF04D4" w:rsidRPr="00641D44">
        <w:rPr>
          <w:rFonts w:ascii="Arial" w:hAnsi="Arial" w:cs="Arial"/>
        </w:rPr>
        <w:t>8</w:t>
      </w:r>
      <w:r w:rsidR="003810B5" w:rsidRPr="00641D44">
        <w:rPr>
          <w:rFonts w:ascii="Arial" w:hAnsi="Arial" w:cs="Arial"/>
        </w:rPr>
        <w:tab/>
        <w:t>Taken as a whole the conflict with the Local Plan</w:t>
      </w:r>
      <w:r w:rsidR="002B008C" w:rsidRPr="00641D44">
        <w:rPr>
          <w:rFonts w:ascii="Arial" w:hAnsi="Arial" w:cs="Arial"/>
        </w:rPr>
        <w:t xml:space="preserve"> is</w:t>
      </w:r>
      <w:r w:rsidR="003810B5" w:rsidRPr="00641D44">
        <w:rPr>
          <w:rFonts w:ascii="Arial" w:hAnsi="Arial" w:cs="Arial"/>
        </w:rPr>
        <w:t xml:space="preserve"> not absolute.  </w:t>
      </w:r>
      <w:r w:rsidR="00CB5130" w:rsidRPr="00641D44">
        <w:rPr>
          <w:rFonts w:ascii="Arial" w:hAnsi="Arial" w:cs="Arial"/>
        </w:rPr>
        <w:t xml:space="preserve">In the context of </w:t>
      </w:r>
      <w:r w:rsidR="00870FFC" w:rsidRPr="00641D44">
        <w:rPr>
          <w:rFonts w:ascii="Arial" w:hAnsi="Arial" w:cs="Arial"/>
        </w:rPr>
        <w:t>the scheme’s benefits, there</w:t>
      </w:r>
      <w:r w:rsidR="00CB5130" w:rsidRPr="00641D44">
        <w:rPr>
          <w:rFonts w:ascii="Arial" w:hAnsi="Arial" w:cs="Arial"/>
        </w:rPr>
        <w:t xml:space="preserve"> would be a case for approval</w:t>
      </w:r>
      <w:r w:rsidR="00AF04D4" w:rsidRPr="00641D44">
        <w:rPr>
          <w:rFonts w:ascii="Arial" w:hAnsi="Arial" w:cs="Arial"/>
        </w:rPr>
        <w:t xml:space="preserve"> under the Local Plan</w:t>
      </w:r>
      <w:r w:rsidR="00CB5130" w:rsidRPr="00641D44">
        <w:rPr>
          <w:rFonts w:ascii="Arial" w:hAnsi="Arial" w:cs="Arial"/>
        </w:rPr>
        <w:t>, if al</w:t>
      </w:r>
      <w:r w:rsidR="004A77CC" w:rsidRPr="00641D44">
        <w:rPr>
          <w:rFonts w:ascii="Arial" w:hAnsi="Arial" w:cs="Arial"/>
        </w:rPr>
        <w:t>l other matters were resolved</w:t>
      </w:r>
      <w:r w:rsidR="00870FFC" w:rsidRPr="00641D44">
        <w:rPr>
          <w:rFonts w:ascii="Arial" w:hAnsi="Arial" w:cs="Arial"/>
        </w:rPr>
        <w:t xml:space="preserve">.  </w:t>
      </w:r>
      <w:r w:rsidR="006A73FD" w:rsidRPr="00641D44">
        <w:rPr>
          <w:rFonts w:ascii="Arial" w:hAnsi="Arial" w:cs="Arial"/>
        </w:rPr>
        <w:t xml:space="preserve">But as set out elsewhere, they are not. </w:t>
      </w:r>
      <w:r w:rsidR="00E43223" w:rsidRPr="00641D44">
        <w:rPr>
          <w:rFonts w:ascii="Arial" w:hAnsi="Arial" w:cs="Arial"/>
        </w:rPr>
        <w:t xml:space="preserve"> The conflict with the Neighbourhood Plan </w:t>
      </w:r>
      <w:r w:rsidR="003609A7" w:rsidRPr="00641D44">
        <w:rPr>
          <w:rFonts w:ascii="Arial" w:hAnsi="Arial" w:cs="Arial"/>
        </w:rPr>
        <w:t xml:space="preserve">is </w:t>
      </w:r>
      <w:r w:rsidR="00E43223" w:rsidRPr="00641D44">
        <w:rPr>
          <w:rFonts w:ascii="Arial" w:hAnsi="Arial" w:cs="Arial"/>
        </w:rPr>
        <w:t xml:space="preserve">very clearly defined and existential to the </w:t>
      </w:r>
      <w:r w:rsidRPr="00641D44">
        <w:rPr>
          <w:rFonts w:ascii="Arial" w:hAnsi="Arial" w:cs="Arial"/>
        </w:rPr>
        <w:t>BPNP’s integrity</w:t>
      </w:r>
      <w:r w:rsidR="00E43223" w:rsidRPr="00641D44">
        <w:rPr>
          <w:rFonts w:ascii="Arial" w:hAnsi="Arial" w:cs="Arial"/>
        </w:rPr>
        <w:t>; wh</w:t>
      </w:r>
      <w:r w:rsidRPr="00641D44">
        <w:rPr>
          <w:rFonts w:ascii="Arial" w:hAnsi="Arial" w:cs="Arial"/>
        </w:rPr>
        <w:t>ilst</w:t>
      </w:r>
      <w:r w:rsidR="00E43223" w:rsidRPr="00641D44">
        <w:rPr>
          <w:rFonts w:ascii="Arial" w:hAnsi="Arial" w:cs="Arial"/>
        </w:rPr>
        <w:t xml:space="preserve"> the landscape harm cannot be overcome. </w:t>
      </w:r>
    </w:p>
    <w:p w14:paraId="3AC7249E" w14:textId="77777777" w:rsidR="00BC1087" w:rsidRPr="00641D44" w:rsidRDefault="00CF64A9" w:rsidP="0072052E">
      <w:pPr>
        <w:spacing w:line="360" w:lineRule="auto"/>
        <w:rPr>
          <w:rFonts w:ascii="Arial" w:hAnsi="Arial" w:cs="Arial"/>
          <w:b/>
        </w:rPr>
      </w:pPr>
      <w:r w:rsidRPr="00641D44">
        <w:rPr>
          <w:rFonts w:ascii="Arial" w:hAnsi="Arial" w:cs="Arial"/>
          <w:b/>
        </w:rPr>
        <w:t>9</w:t>
      </w:r>
      <w:r w:rsidR="00BC1087" w:rsidRPr="00641D44">
        <w:rPr>
          <w:rFonts w:ascii="Arial" w:hAnsi="Arial" w:cs="Arial"/>
          <w:b/>
        </w:rPr>
        <w:tab/>
      </w:r>
      <w:r w:rsidR="003D5F16" w:rsidRPr="00641D44">
        <w:rPr>
          <w:rFonts w:ascii="Arial" w:hAnsi="Arial" w:cs="Arial"/>
          <w:b/>
        </w:rPr>
        <w:t>Summary and Conclusion</w:t>
      </w:r>
    </w:p>
    <w:p w14:paraId="04D4A07D" w14:textId="27C07E7C" w:rsidR="00582D18" w:rsidRPr="00641D44" w:rsidRDefault="00CF64A9" w:rsidP="003609A7">
      <w:pPr>
        <w:spacing w:line="360" w:lineRule="auto"/>
        <w:ind w:left="720" w:hanging="720"/>
        <w:jc w:val="both"/>
        <w:rPr>
          <w:rFonts w:ascii="Arial" w:hAnsi="Arial" w:cs="Arial"/>
        </w:rPr>
      </w:pPr>
      <w:r w:rsidRPr="00641D44">
        <w:rPr>
          <w:rFonts w:ascii="Arial" w:hAnsi="Arial" w:cs="Arial"/>
        </w:rPr>
        <w:t>9</w:t>
      </w:r>
      <w:r w:rsidR="00510AD8" w:rsidRPr="00641D44">
        <w:rPr>
          <w:rFonts w:ascii="Arial" w:hAnsi="Arial" w:cs="Arial"/>
        </w:rPr>
        <w:t>.1</w:t>
      </w:r>
      <w:r w:rsidR="00510AD8" w:rsidRPr="00641D44">
        <w:rPr>
          <w:rFonts w:ascii="Arial" w:hAnsi="Arial" w:cs="Arial"/>
        </w:rPr>
        <w:tab/>
      </w:r>
      <w:r w:rsidR="003D5F16" w:rsidRPr="00641D44">
        <w:rPr>
          <w:rFonts w:ascii="Arial" w:hAnsi="Arial" w:cs="Arial"/>
        </w:rPr>
        <w:t>A full assessment of the proposed development is contained in the Committee Report, including an assessment of the planning balance.</w:t>
      </w:r>
      <w:r w:rsidR="00582D18" w:rsidRPr="00641D44">
        <w:rPr>
          <w:rFonts w:ascii="Arial" w:hAnsi="Arial" w:cs="Arial"/>
        </w:rPr>
        <w:t xml:space="preserve">  I have attempted to set out the </w:t>
      </w:r>
      <w:r w:rsidR="00EF734B" w:rsidRPr="00641D44">
        <w:rPr>
          <w:rFonts w:ascii="Arial" w:hAnsi="Arial" w:cs="Arial"/>
        </w:rPr>
        <w:t>proposal fairly</w:t>
      </w:r>
      <w:r w:rsidR="00582D18" w:rsidRPr="00641D44">
        <w:rPr>
          <w:rFonts w:ascii="Arial" w:hAnsi="Arial" w:cs="Arial"/>
        </w:rPr>
        <w:t xml:space="preserve"> and to acknowledge</w:t>
      </w:r>
      <w:r w:rsidR="002B5762" w:rsidRPr="00641D44">
        <w:rPr>
          <w:rFonts w:ascii="Arial" w:hAnsi="Arial" w:cs="Arial"/>
        </w:rPr>
        <w:t xml:space="preserve"> </w:t>
      </w:r>
      <w:r w:rsidR="00582D18" w:rsidRPr="00641D44">
        <w:rPr>
          <w:rFonts w:ascii="Arial" w:hAnsi="Arial" w:cs="Arial"/>
        </w:rPr>
        <w:t xml:space="preserve">that </w:t>
      </w:r>
      <w:r w:rsidR="00EF734B" w:rsidRPr="00641D44">
        <w:rPr>
          <w:rFonts w:ascii="Arial" w:hAnsi="Arial" w:cs="Arial"/>
        </w:rPr>
        <w:t>the LPA has previously</w:t>
      </w:r>
      <w:r w:rsidR="00582D18" w:rsidRPr="00641D44">
        <w:rPr>
          <w:rFonts w:ascii="Arial" w:hAnsi="Arial" w:cs="Arial"/>
        </w:rPr>
        <w:t xml:space="preserve"> consider</w:t>
      </w:r>
      <w:r w:rsidR="00EF734B" w:rsidRPr="00641D44">
        <w:rPr>
          <w:rFonts w:ascii="Arial" w:hAnsi="Arial" w:cs="Arial"/>
        </w:rPr>
        <w:t>ed</w:t>
      </w:r>
      <w:r w:rsidR="00582D18" w:rsidRPr="00641D44">
        <w:rPr>
          <w:rFonts w:ascii="Arial" w:hAnsi="Arial" w:cs="Arial"/>
        </w:rPr>
        <w:t xml:space="preserve"> the site for development. </w:t>
      </w:r>
      <w:r w:rsidRPr="00641D44">
        <w:rPr>
          <w:rFonts w:ascii="Arial" w:hAnsi="Arial" w:cs="Arial"/>
        </w:rPr>
        <w:t xml:space="preserve"> </w:t>
      </w:r>
    </w:p>
    <w:p w14:paraId="6C1D7BC7" w14:textId="77777777" w:rsidR="00385615" w:rsidRPr="00641D44" w:rsidRDefault="00CF64A9" w:rsidP="003609A7">
      <w:pPr>
        <w:spacing w:line="360" w:lineRule="auto"/>
        <w:ind w:left="720" w:hanging="720"/>
        <w:jc w:val="both"/>
        <w:rPr>
          <w:rFonts w:ascii="Arial" w:hAnsi="Arial" w:cs="Arial"/>
        </w:rPr>
      </w:pPr>
      <w:r w:rsidRPr="00641D44">
        <w:rPr>
          <w:rFonts w:ascii="Arial" w:hAnsi="Arial" w:cs="Arial"/>
        </w:rPr>
        <w:t>9.2</w:t>
      </w:r>
      <w:r w:rsidRPr="00641D44">
        <w:rPr>
          <w:rFonts w:ascii="Arial" w:hAnsi="Arial" w:cs="Arial"/>
        </w:rPr>
        <w:tab/>
      </w:r>
      <w:r w:rsidR="00385615" w:rsidRPr="00641D44">
        <w:rPr>
          <w:rFonts w:ascii="Arial" w:hAnsi="Arial" w:cs="Arial"/>
        </w:rPr>
        <w:t>It has always been my view that a proposal of this scale and nature should come through the development plan process, when a detailed assessment of need and all options to meet this could be assessed.  However, the LPA has not sought to use prematurity as a putative reason for refusal.</w:t>
      </w:r>
    </w:p>
    <w:p w14:paraId="42226D1D" w14:textId="77777777" w:rsidR="00026249" w:rsidRPr="00641D44" w:rsidRDefault="00385615" w:rsidP="00026249">
      <w:pPr>
        <w:spacing w:line="360" w:lineRule="auto"/>
        <w:ind w:left="720" w:hanging="720"/>
        <w:jc w:val="both"/>
        <w:rPr>
          <w:rFonts w:ascii="Arial" w:hAnsi="Arial" w:cs="Arial"/>
        </w:rPr>
      </w:pPr>
      <w:r w:rsidRPr="00641D44">
        <w:rPr>
          <w:rFonts w:ascii="Arial" w:hAnsi="Arial" w:cs="Arial"/>
        </w:rPr>
        <w:t>9.3</w:t>
      </w:r>
      <w:r w:rsidRPr="00641D44">
        <w:rPr>
          <w:rFonts w:ascii="Arial" w:hAnsi="Arial" w:cs="Arial"/>
        </w:rPr>
        <w:tab/>
        <w:t>Notwithstanding the scheme’s benefits and housing supply considerations</w:t>
      </w:r>
      <w:r w:rsidR="00026249" w:rsidRPr="00641D44">
        <w:rPr>
          <w:rFonts w:ascii="Arial" w:hAnsi="Arial" w:cs="Arial"/>
        </w:rPr>
        <w:t>,</w:t>
      </w:r>
      <w:r w:rsidRPr="00641D44">
        <w:rPr>
          <w:rFonts w:ascii="Arial" w:hAnsi="Arial" w:cs="Arial"/>
        </w:rPr>
        <w:t xml:space="preserve"> </w:t>
      </w:r>
      <w:r w:rsidR="00026249" w:rsidRPr="00641D44">
        <w:rPr>
          <w:rFonts w:ascii="Arial" w:hAnsi="Arial" w:cs="Arial"/>
        </w:rPr>
        <w:t>t</w:t>
      </w:r>
      <w:r w:rsidRPr="00641D44">
        <w:rPr>
          <w:rFonts w:ascii="Arial" w:hAnsi="Arial" w:cs="Arial"/>
        </w:rPr>
        <w:t>here</w:t>
      </w:r>
      <w:r w:rsidR="00582D18" w:rsidRPr="00641D44">
        <w:rPr>
          <w:rFonts w:ascii="Arial" w:hAnsi="Arial" w:cs="Arial"/>
        </w:rPr>
        <w:t xml:space="preserve"> are two main factors that meant that I was unable to recommend approval of the scheme</w:t>
      </w:r>
      <w:r w:rsidR="00026249" w:rsidRPr="00641D44">
        <w:rPr>
          <w:rFonts w:ascii="Arial" w:hAnsi="Arial" w:cs="Arial"/>
        </w:rPr>
        <w:t>: Conflict with the BPNP and Landscape impact.</w:t>
      </w:r>
    </w:p>
    <w:p w14:paraId="3DC0DA10" w14:textId="77777777" w:rsidR="00582D18" w:rsidRPr="00641D44" w:rsidRDefault="00026249" w:rsidP="00026249">
      <w:pPr>
        <w:spacing w:line="360" w:lineRule="auto"/>
        <w:ind w:left="720" w:hanging="720"/>
        <w:jc w:val="both"/>
        <w:rPr>
          <w:rFonts w:ascii="Arial" w:hAnsi="Arial" w:cs="Arial"/>
        </w:rPr>
      </w:pPr>
      <w:r w:rsidRPr="00641D44">
        <w:rPr>
          <w:rFonts w:ascii="Arial" w:hAnsi="Arial" w:cs="Arial"/>
        </w:rPr>
        <w:t>9.4</w:t>
      </w:r>
      <w:r w:rsidRPr="00641D44">
        <w:rPr>
          <w:rFonts w:ascii="Arial" w:hAnsi="Arial" w:cs="Arial"/>
        </w:rPr>
        <w:tab/>
      </w:r>
      <w:r w:rsidR="00582D18" w:rsidRPr="00641D44">
        <w:rPr>
          <w:rFonts w:ascii="Arial" w:hAnsi="Arial" w:cs="Arial"/>
        </w:rPr>
        <w:t xml:space="preserve">Firstly </w:t>
      </w:r>
      <w:r w:rsidR="00793CCA" w:rsidRPr="00641D44">
        <w:rPr>
          <w:rFonts w:ascii="Arial" w:hAnsi="Arial" w:cs="Arial"/>
        </w:rPr>
        <w:t>the</w:t>
      </w:r>
      <w:r w:rsidRPr="00641D44">
        <w:rPr>
          <w:rFonts w:ascii="Arial" w:hAnsi="Arial" w:cs="Arial"/>
        </w:rPr>
        <w:t>re is very</w:t>
      </w:r>
      <w:r w:rsidR="00793CCA" w:rsidRPr="00641D44">
        <w:rPr>
          <w:rFonts w:ascii="Arial" w:hAnsi="Arial" w:cs="Arial"/>
        </w:rPr>
        <w:t xml:space="preserve"> significant conflict with the BPNP, both in terms of its spatial strategy of promoting brownfield sites, and because the </w:t>
      </w:r>
      <w:r w:rsidR="00EF734B" w:rsidRPr="00641D44">
        <w:rPr>
          <w:rFonts w:ascii="Arial" w:hAnsi="Arial" w:cs="Arial"/>
        </w:rPr>
        <w:t>settlement gap/</w:t>
      </w:r>
      <w:r w:rsidR="00793CCA" w:rsidRPr="00641D44">
        <w:rPr>
          <w:rFonts w:ascii="Arial" w:hAnsi="Arial" w:cs="Arial"/>
        </w:rPr>
        <w:t xml:space="preserve">vista towards the AONB that is protected by Policies E3 and E6.  </w:t>
      </w:r>
      <w:r w:rsidR="00484A52" w:rsidRPr="00641D44">
        <w:rPr>
          <w:rFonts w:ascii="Arial" w:hAnsi="Arial" w:cs="Arial"/>
        </w:rPr>
        <w:t>Torbay</w:t>
      </w:r>
      <w:r w:rsidR="00CF64A9" w:rsidRPr="00641D44">
        <w:rPr>
          <w:rFonts w:ascii="Arial" w:hAnsi="Arial" w:cs="Arial"/>
        </w:rPr>
        <w:t xml:space="preserve"> Council has placed great weight on Neighbourhood Planning and the BPNP (as well as the other Neighbourhood Plans) was prepared by volunteers making great sacrifices in time and effort.  It follows a process of localism that has a statutory basis and has passed </w:t>
      </w:r>
      <w:r w:rsidR="000B088A" w:rsidRPr="00641D44">
        <w:rPr>
          <w:rFonts w:ascii="Arial" w:hAnsi="Arial" w:cs="Arial"/>
        </w:rPr>
        <w:t>e</w:t>
      </w:r>
      <w:r w:rsidR="00CF64A9" w:rsidRPr="00641D44">
        <w:rPr>
          <w:rFonts w:ascii="Arial" w:hAnsi="Arial" w:cs="Arial"/>
        </w:rPr>
        <w:t>xamination and referendum</w:t>
      </w:r>
      <w:r w:rsidR="00484A52" w:rsidRPr="00641D44">
        <w:rPr>
          <w:rFonts w:ascii="Arial" w:hAnsi="Arial" w:cs="Arial"/>
        </w:rPr>
        <w:t>, with overwhelming support</w:t>
      </w:r>
      <w:r w:rsidR="00CF64A9" w:rsidRPr="00641D44">
        <w:rPr>
          <w:rFonts w:ascii="Arial" w:hAnsi="Arial" w:cs="Arial"/>
        </w:rPr>
        <w:t xml:space="preserve">.  The BPNP has exceeded its housing </w:t>
      </w:r>
      <w:r w:rsidR="00CF64A9" w:rsidRPr="00641D44">
        <w:rPr>
          <w:rFonts w:ascii="Arial" w:hAnsi="Arial" w:cs="Arial"/>
        </w:rPr>
        <w:lastRenderedPageBreak/>
        <w:t>requirement and there is no reason to</w:t>
      </w:r>
      <w:r w:rsidR="00CF64A9" w:rsidRPr="00641D44">
        <w:rPr>
          <w:rFonts w:ascii="Arial" w:hAnsi="Arial" w:cs="Arial"/>
          <w:i/>
        </w:rPr>
        <w:t xml:space="preserve"> assess</w:t>
      </w:r>
      <w:r w:rsidR="00CF64A9" w:rsidRPr="00641D44">
        <w:rPr>
          <w:rFonts w:ascii="Arial" w:hAnsi="Arial" w:cs="Arial"/>
        </w:rPr>
        <w:t xml:space="preserve"> it as being out of date. </w:t>
      </w:r>
      <w:r w:rsidR="003609A7" w:rsidRPr="00641D44">
        <w:rPr>
          <w:rFonts w:ascii="Arial" w:hAnsi="Arial" w:cs="Arial"/>
        </w:rPr>
        <w:t xml:space="preserve"> The settlement gap and its spatial development policies remain </w:t>
      </w:r>
      <w:r w:rsidR="000157D2" w:rsidRPr="00641D44">
        <w:rPr>
          <w:rFonts w:ascii="Arial" w:hAnsi="Arial" w:cs="Arial"/>
        </w:rPr>
        <w:t xml:space="preserve">soundly based. </w:t>
      </w:r>
    </w:p>
    <w:p w14:paraId="2A7A5A33" w14:textId="331A9795" w:rsidR="00793CCA" w:rsidRPr="00641D44" w:rsidRDefault="00CF64A9" w:rsidP="00026249">
      <w:pPr>
        <w:spacing w:line="360" w:lineRule="auto"/>
        <w:ind w:left="720" w:hanging="720"/>
        <w:jc w:val="both"/>
        <w:rPr>
          <w:rFonts w:ascii="Arial" w:hAnsi="Arial" w:cs="Arial"/>
        </w:rPr>
      </w:pPr>
      <w:r w:rsidRPr="00641D44">
        <w:rPr>
          <w:rFonts w:ascii="Arial" w:hAnsi="Arial" w:cs="Arial"/>
        </w:rPr>
        <w:t>9.</w:t>
      </w:r>
      <w:r w:rsidR="002B6AA9" w:rsidRPr="00641D44">
        <w:rPr>
          <w:rFonts w:ascii="Arial" w:hAnsi="Arial" w:cs="Arial"/>
        </w:rPr>
        <w:t>5</w:t>
      </w:r>
      <w:r w:rsidRPr="00641D44">
        <w:rPr>
          <w:rFonts w:ascii="Arial" w:hAnsi="Arial" w:cs="Arial"/>
        </w:rPr>
        <w:tab/>
      </w:r>
      <w:r w:rsidR="00793CCA" w:rsidRPr="00641D44">
        <w:rPr>
          <w:rFonts w:ascii="Arial" w:hAnsi="Arial" w:cs="Arial"/>
        </w:rPr>
        <w:t xml:space="preserve">Secondly, the proposal’s landscape impact would cause </w:t>
      </w:r>
      <w:r w:rsidR="005B17EE" w:rsidRPr="00641D44">
        <w:rPr>
          <w:rFonts w:ascii="Arial" w:hAnsi="Arial" w:cs="Arial"/>
        </w:rPr>
        <w:t xml:space="preserve">permanent </w:t>
      </w:r>
      <w:r w:rsidR="00793CCA" w:rsidRPr="00641D44">
        <w:rPr>
          <w:rFonts w:ascii="Arial" w:hAnsi="Arial" w:cs="Arial"/>
        </w:rPr>
        <w:t>harm which would significant</w:t>
      </w:r>
      <w:r w:rsidR="003D5F16" w:rsidRPr="00641D44">
        <w:rPr>
          <w:rFonts w:ascii="Arial" w:hAnsi="Arial" w:cs="Arial"/>
        </w:rPr>
        <w:t>ly</w:t>
      </w:r>
      <w:r w:rsidR="00793CCA" w:rsidRPr="00641D44">
        <w:rPr>
          <w:rFonts w:ascii="Arial" w:hAnsi="Arial" w:cs="Arial"/>
        </w:rPr>
        <w:t xml:space="preserve"> and demonstrably outweigh the benefits of the proposal.  </w:t>
      </w:r>
      <w:r w:rsidRPr="00641D44">
        <w:rPr>
          <w:rFonts w:ascii="Arial" w:hAnsi="Arial" w:cs="Arial"/>
        </w:rPr>
        <w:t>The rolling farmland</w:t>
      </w:r>
      <w:r w:rsidR="000B088A" w:rsidRPr="00641D44">
        <w:rPr>
          <w:rFonts w:ascii="Arial" w:hAnsi="Arial" w:cs="Arial"/>
        </w:rPr>
        <w:t xml:space="preserve"> of the site</w:t>
      </w:r>
      <w:r w:rsidRPr="00641D44">
        <w:rPr>
          <w:rFonts w:ascii="Arial" w:hAnsi="Arial" w:cs="Arial"/>
        </w:rPr>
        <w:t xml:space="preserve"> </w:t>
      </w:r>
      <w:r w:rsidR="00026249" w:rsidRPr="00641D44">
        <w:rPr>
          <w:rFonts w:ascii="Arial" w:hAnsi="Arial" w:cs="Arial"/>
        </w:rPr>
        <w:t xml:space="preserve">represents </w:t>
      </w:r>
      <w:r w:rsidRPr="00641D44">
        <w:rPr>
          <w:rFonts w:ascii="Arial" w:hAnsi="Arial" w:cs="Arial"/>
        </w:rPr>
        <w:t xml:space="preserve">a significant transition from the urban character experienced on the A3022 Western Corridor, </w:t>
      </w:r>
      <w:r w:rsidR="00241166" w:rsidRPr="00641D44">
        <w:rPr>
          <w:rFonts w:ascii="Arial" w:hAnsi="Arial" w:cs="Arial"/>
        </w:rPr>
        <w:t xml:space="preserve">to one of rolling farmland with views towards the South Devon AONB. </w:t>
      </w:r>
      <w:r w:rsidR="00EF734B" w:rsidRPr="00641D44">
        <w:rPr>
          <w:rFonts w:ascii="Arial" w:hAnsi="Arial" w:cs="Arial"/>
        </w:rPr>
        <w:t xml:space="preserve"> </w:t>
      </w:r>
      <w:r w:rsidR="00241166" w:rsidRPr="00641D44">
        <w:rPr>
          <w:rFonts w:ascii="Arial" w:hAnsi="Arial" w:cs="Arial"/>
        </w:rPr>
        <w:t xml:space="preserve">As well as a landscape beauty value, this vista has an economic value to the wider tourism industry. </w:t>
      </w:r>
    </w:p>
    <w:p w14:paraId="32E32DD2" w14:textId="17F4DB6F" w:rsidR="00241166" w:rsidRPr="00641D44" w:rsidRDefault="00241166" w:rsidP="000B088A">
      <w:pPr>
        <w:spacing w:line="360" w:lineRule="auto"/>
        <w:ind w:left="720" w:hanging="720"/>
        <w:jc w:val="both"/>
        <w:rPr>
          <w:rFonts w:ascii="Arial" w:hAnsi="Arial" w:cs="Arial"/>
        </w:rPr>
      </w:pPr>
      <w:r w:rsidRPr="00641D44">
        <w:rPr>
          <w:rFonts w:ascii="Arial" w:hAnsi="Arial" w:cs="Arial"/>
        </w:rPr>
        <w:t>9.</w:t>
      </w:r>
      <w:r w:rsidR="002B6AA9" w:rsidRPr="00641D44">
        <w:rPr>
          <w:rFonts w:ascii="Arial" w:hAnsi="Arial" w:cs="Arial"/>
        </w:rPr>
        <w:t>6</w:t>
      </w:r>
      <w:r w:rsidRPr="00641D44">
        <w:rPr>
          <w:rFonts w:ascii="Arial" w:hAnsi="Arial" w:cs="Arial"/>
        </w:rPr>
        <w:tab/>
        <w:t xml:space="preserve">The Impact on the AONB cannot be </w:t>
      </w:r>
      <w:r w:rsidR="002B5762" w:rsidRPr="00641D44">
        <w:rPr>
          <w:rFonts w:ascii="Arial" w:hAnsi="Arial" w:cs="Arial"/>
        </w:rPr>
        <w:t>satisfactorily</w:t>
      </w:r>
      <w:r w:rsidRPr="00641D44">
        <w:rPr>
          <w:rFonts w:ascii="Arial" w:hAnsi="Arial" w:cs="Arial"/>
        </w:rPr>
        <w:t xml:space="preserve"> mitigated. </w:t>
      </w:r>
      <w:r w:rsidR="00661F59" w:rsidRPr="00641D44">
        <w:rPr>
          <w:rFonts w:ascii="Arial" w:hAnsi="Arial" w:cs="Arial"/>
          <w:color w:val="000000"/>
        </w:rPr>
        <w:t xml:space="preserve">The AONB Partnership has consistently objected to the proposal on the grounds of </w:t>
      </w:r>
      <w:r w:rsidR="002B5762" w:rsidRPr="00641D44">
        <w:rPr>
          <w:rFonts w:ascii="Arial" w:hAnsi="Arial" w:cs="Arial"/>
          <w:color w:val="000000"/>
        </w:rPr>
        <w:t>its harm to the AONB</w:t>
      </w:r>
      <w:r w:rsidR="00661F59" w:rsidRPr="00641D44">
        <w:rPr>
          <w:rFonts w:ascii="Arial" w:hAnsi="Arial" w:cs="Arial"/>
          <w:color w:val="000000"/>
        </w:rPr>
        <w:t xml:space="preserve">. </w:t>
      </w:r>
      <w:r w:rsidRPr="00641D44">
        <w:rPr>
          <w:rFonts w:ascii="Arial" w:hAnsi="Arial" w:cs="Arial"/>
        </w:rPr>
        <w:t xml:space="preserve"> Although seen from a limited number of vantage points around Dittisham and south of Galmpton, the harm to the character of the AONB from these public vantage points </w:t>
      </w:r>
      <w:r w:rsidR="002B5762" w:rsidRPr="00641D44">
        <w:rPr>
          <w:rFonts w:ascii="Arial" w:hAnsi="Arial" w:cs="Arial"/>
        </w:rPr>
        <w:t>from</w:t>
      </w:r>
      <w:r w:rsidRPr="00641D44">
        <w:rPr>
          <w:rFonts w:ascii="Arial" w:hAnsi="Arial" w:cs="Arial"/>
        </w:rPr>
        <w:t xml:space="preserve"> the development within </w:t>
      </w:r>
      <w:r w:rsidR="002B5762" w:rsidRPr="00641D44">
        <w:rPr>
          <w:rFonts w:ascii="Arial" w:hAnsi="Arial" w:cs="Arial"/>
        </w:rPr>
        <w:t>its</w:t>
      </w:r>
      <w:r w:rsidRPr="00641D44">
        <w:rPr>
          <w:rFonts w:ascii="Arial" w:hAnsi="Arial" w:cs="Arial"/>
        </w:rPr>
        <w:t xml:space="preserve"> setting would be </w:t>
      </w:r>
      <w:r w:rsidR="0062073B" w:rsidRPr="00641D44">
        <w:rPr>
          <w:rFonts w:ascii="Arial" w:hAnsi="Arial" w:cs="Arial"/>
        </w:rPr>
        <w:t>significant</w:t>
      </w:r>
      <w:r w:rsidRPr="00641D44">
        <w:rPr>
          <w:rFonts w:ascii="Arial" w:hAnsi="Arial" w:cs="Arial"/>
        </w:rPr>
        <w:t>.</w:t>
      </w:r>
      <w:r w:rsidR="003D5F16" w:rsidRPr="00641D44">
        <w:rPr>
          <w:rFonts w:ascii="Arial" w:hAnsi="Arial" w:cs="Arial"/>
        </w:rPr>
        <w:t xml:space="preserve"> </w:t>
      </w:r>
      <w:r w:rsidRPr="00641D44">
        <w:rPr>
          <w:rFonts w:ascii="Arial" w:hAnsi="Arial" w:cs="Arial"/>
        </w:rPr>
        <w:t xml:space="preserve"> It would breach the clearly defined urban edge which is set by the extent of White Rock 1 to the </w:t>
      </w:r>
      <w:r w:rsidR="00F5414E" w:rsidRPr="00641D44">
        <w:rPr>
          <w:rFonts w:ascii="Arial" w:hAnsi="Arial" w:cs="Arial"/>
        </w:rPr>
        <w:t xml:space="preserve">north </w:t>
      </w:r>
      <w:r w:rsidRPr="00641D44">
        <w:rPr>
          <w:rFonts w:ascii="Arial" w:hAnsi="Arial" w:cs="Arial"/>
        </w:rPr>
        <w:t>and Brixham Road to the east of the site. This represents a clear reason to refuse the development proposed</w:t>
      </w:r>
      <w:r w:rsidR="000157D2" w:rsidRPr="00641D44">
        <w:rPr>
          <w:rFonts w:ascii="Arial" w:hAnsi="Arial" w:cs="Arial"/>
        </w:rPr>
        <w:t xml:space="preserve"> both in terms of paragraph 11 d</w:t>
      </w:r>
      <w:proofErr w:type="gramStart"/>
      <w:r w:rsidR="000157D2" w:rsidRPr="00641D44">
        <w:rPr>
          <w:rFonts w:ascii="Arial" w:hAnsi="Arial" w:cs="Arial"/>
        </w:rPr>
        <w:t>)</w:t>
      </w:r>
      <w:proofErr w:type="spellStart"/>
      <w:r w:rsidR="000157D2" w:rsidRPr="00641D44">
        <w:rPr>
          <w:rFonts w:ascii="Arial" w:hAnsi="Arial" w:cs="Arial"/>
        </w:rPr>
        <w:t>i</w:t>
      </w:r>
      <w:proofErr w:type="spellEnd"/>
      <w:proofErr w:type="gramEnd"/>
      <w:r w:rsidR="000157D2" w:rsidRPr="00641D44">
        <w:rPr>
          <w:rFonts w:ascii="Arial" w:hAnsi="Arial" w:cs="Arial"/>
        </w:rPr>
        <w:t xml:space="preserve"> and 172 of the NPPF</w:t>
      </w:r>
      <w:r w:rsidR="00385615" w:rsidRPr="00641D44">
        <w:rPr>
          <w:rFonts w:ascii="Arial" w:hAnsi="Arial" w:cs="Arial"/>
        </w:rPr>
        <w:t>,</w:t>
      </w:r>
      <w:r w:rsidR="0062073B" w:rsidRPr="00641D44">
        <w:rPr>
          <w:rFonts w:ascii="Arial" w:hAnsi="Arial" w:cs="Arial"/>
        </w:rPr>
        <w:t xml:space="preserve"> as well as</w:t>
      </w:r>
      <w:r w:rsidR="000157D2" w:rsidRPr="00641D44">
        <w:rPr>
          <w:rFonts w:ascii="Arial" w:hAnsi="Arial" w:cs="Arial"/>
        </w:rPr>
        <w:t xml:space="preserve"> the development plan. </w:t>
      </w:r>
    </w:p>
    <w:p w14:paraId="50619C37" w14:textId="4D17D356" w:rsidR="00026249" w:rsidRPr="00641D44" w:rsidRDefault="00026249" w:rsidP="000B088A">
      <w:pPr>
        <w:spacing w:line="360" w:lineRule="auto"/>
        <w:ind w:left="720" w:hanging="720"/>
        <w:jc w:val="both"/>
        <w:rPr>
          <w:rFonts w:ascii="Arial" w:hAnsi="Arial" w:cs="Arial"/>
        </w:rPr>
      </w:pPr>
      <w:r w:rsidRPr="00641D44">
        <w:rPr>
          <w:rFonts w:ascii="Arial" w:hAnsi="Arial" w:cs="Arial"/>
        </w:rPr>
        <w:t>9.</w:t>
      </w:r>
      <w:r w:rsidR="002B6AA9" w:rsidRPr="00641D44">
        <w:rPr>
          <w:rFonts w:ascii="Arial" w:hAnsi="Arial" w:cs="Arial"/>
        </w:rPr>
        <w:t>7</w:t>
      </w:r>
      <w:r w:rsidRPr="00641D44">
        <w:rPr>
          <w:rFonts w:ascii="Arial" w:hAnsi="Arial" w:cs="Arial"/>
        </w:rPr>
        <w:tab/>
        <w:t>Approving the development would remove the logical barriers to development currently set by the ridge of higher ground around White Rock to the north and Brixham Road to the east of the site</w:t>
      </w:r>
      <w:r w:rsidR="00910921" w:rsidRPr="00641D44">
        <w:rPr>
          <w:rFonts w:ascii="Arial" w:hAnsi="Arial" w:cs="Arial"/>
        </w:rPr>
        <w:t>, and make the further outwards expansion of Torbay into the Dart Valley much harder to resist.</w:t>
      </w:r>
      <w:r w:rsidRPr="00641D44">
        <w:rPr>
          <w:rFonts w:ascii="Arial" w:hAnsi="Arial" w:cs="Arial"/>
        </w:rPr>
        <w:t xml:space="preserve">. </w:t>
      </w:r>
    </w:p>
    <w:p w14:paraId="27BDF68B" w14:textId="536E8EB8" w:rsidR="003D5F16" w:rsidRDefault="00950401" w:rsidP="005B17EE">
      <w:pPr>
        <w:spacing w:line="360" w:lineRule="auto"/>
        <w:ind w:left="720" w:hanging="720"/>
        <w:jc w:val="both"/>
        <w:rPr>
          <w:rFonts w:ascii="Arial" w:hAnsi="Arial" w:cs="Arial"/>
        </w:rPr>
      </w:pPr>
      <w:r w:rsidRPr="00641D44">
        <w:rPr>
          <w:rFonts w:ascii="Arial" w:hAnsi="Arial" w:cs="Arial"/>
        </w:rPr>
        <w:t>9.</w:t>
      </w:r>
      <w:r w:rsidR="002B6AA9" w:rsidRPr="00641D44">
        <w:rPr>
          <w:rFonts w:ascii="Arial" w:hAnsi="Arial" w:cs="Arial"/>
        </w:rPr>
        <w:t>8</w:t>
      </w:r>
      <w:r w:rsidRPr="00641D44">
        <w:rPr>
          <w:rFonts w:ascii="Arial" w:hAnsi="Arial" w:cs="Arial"/>
        </w:rPr>
        <w:tab/>
        <w:t>For the above reasons the Inspector is respectfully requested to refuse the appeal.</w:t>
      </w:r>
      <w:r>
        <w:rPr>
          <w:rFonts w:ascii="Arial" w:hAnsi="Arial" w:cs="Arial"/>
        </w:rPr>
        <w:t xml:space="preserve"> </w:t>
      </w:r>
    </w:p>
    <w:p w14:paraId="4C12FF7E" w14:textId="1E7C9846" w:rsidR="00641D44" w:rsidRDefault="00641D44">
      <w:pPr>
        <w:rPr>
          <w:rFonts w:ascii="Arial" w:hAnsi="Arial" w:cs="Arial"/>
        </w:rPr>
      </w:pPr>
    </w:p>
    <w:sectPr w:rsidR="00641D44">
      <w:footerReference w:type="default" r:id="rId8"/>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90F40" w16cex:dateUtc="2020-12-07T20:29:00Z"/>
  <w16cex:commentExtensible w16cex:durableId="237911A7" w16cex:dateUtc="2020-12-07T20:40:00Z"/>
  <w16cex:commentExtensible w16cex:durableId="237911C6" w16cex:dateUtc="2020-12-07T20:40:00Z"/>
  <w16cex:commentExtensible w16cex:durableId="23791300" w16cex:dateUtc="2020-12-07T20:45:00Z"/>
  <w16cex:commentExtensible w16cex:durableId="2379134F" w16cex:dateUtc="2020-12-07T20: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E9660C1" w16cid:durableId="23790F40"/>
  <w16cid:commentId w16cid:paraId="34051EFF" w16cid:durableId="237911A7"/>
  <w16cid:commentId w16cid:paraId="4394061B" w16cid:durableId="237911C6"/>
  <w16cid:commentId w16cid:paraId="5D0CF0A0" w16cid:durableId="23791300"/>
  <w16cid:commentId w16cid:paraId="7DEC10B5" w16cid:durableId="2379134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FDC9D4" w14:textId="77777777" w:rsidR="004B6831" w:rsidRDefault="004B6831" w:rsidP="0070677C">
      <w:pPr>
        <w:spacing w:after="0" w:line="240" w:lineRule="auto"/>
      </w:pPr>
      <w:r>
        <w:separator/>
      </w:r>
    </w:p>
  </w:endnote>
  <w:endnote w:type="continuationSeparator" w:id="0">
    <w:p w14:paraId="6714AA86" w14:textId="77777777" w:rsidR="004B6831" w:rsidRDefault="004B6831" w:rsidP="00706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yriad Pro Black">
    <w:altName w:val="Calibri"/>
    <w:panose1 w:val="00000000000000000000"/>
    <w:charset w:val="00"/>
    <w:family w:val="swiss"/>
    <w:notTrueType/>
    <w:pitch w:val="variable"/>
    <w:sig w:usb0="A00002AF" w:usb1="5000204B" w:usb2="00000000" w:usb3="00000000" w:csb0="0000009F" w:csb1="00000000"/>
  </w:font>
  <w:font w:name="Myriad Pro">
    <w:altName w:val="Segoe UI"/>
    <w:panose1 w:val="00000000000000000000"/>
    <w:charset w:val="00"/>
    <w:family w:val="swiss"/>
    <w:notTrueType/>
    <w:pitch w:val="variable"/>
    <w:sig w:usb0="A00002AF" w:usb1="5000204B" w:usb2="00000000" w:usb3="00000000" w:csb0="0000009F" w:csb1="00000000"/>
  </w:font>
  <w:font w:name="Swis721 BT">
    <w:altName w:val="Arial"/>
    <w:charset w:val="00"/>
    <w:family w:val="swiss"/>
    <w:pitch w:val="variable"/>
    <w:sig w:usb0="00000001" w:usb1="00000000" w:usb2="00000000" w:usb3="00000000" w:csb0="0000001B"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90D54" w14:textId="77777777" w:rsidR="00B523A5" w:rsidRDefault="00B523A5" w:rsidP="00D23DE3">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90591F">
      <w:rPr>
        <w:noProof/>
        <w:color w:val="323E4F" w:themeColor="text2" w:themeShade="BF"/>
        <w:sz w:val="24"/>
        <w:szCs w:val="24"/>
      </w:rPr>
      <w:t>18</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90591F">
      <w:rPr>
        <w:noProof/>
        <w:color w:val="323E4F" w:themeColor="text2" w:themeShade="BF"/>
        <w:sz w:val="24"/>
        <w:szCs w:val="24"/>
      </w:rPr>
      <w:t>19</w:t>
    </w:r>
    <w:r>
      <w:rPr>
        <w:color w:val="323E4F" w:themeColor="text2" w:themeShade="BF"/>
        <w:sz w:val="24"/>
        <w:szCs w:val="24"/>
      </w:rPr>
      <w:fldChar w:fldCharType="end"/>
    </w:r>
  </w:p>
  <w:p w14:paraId="38F13100" w14:textId="62B14467" w:rsidR="00B523A5" w:rsidRPr="0004415C" w:rsidRDefault="00B523A5">
    <w:pPr>
      <w:pStyle w:val="Footer"/>
    </w:pPr>
    <w:r w:rsidRPr="0004415C">
      <w:t>APP/X1165/W/20/3245011</w:t>
    </w:r>
    <w:r w:rsidR="00661F59">
      <w:t>Statement of Case</w:t>
    </w:r>
    <w:r w:rsidR="00641D44">
      <w:t xml:space="preserve"> by David Pickhaver for </w:t>
    </w:r>
    <w:r>
      <w:t>Torbay Council</w:t>
    </w:r>
    <w:r w:rsidR="00661F59">
      <w:t xml:space="preserve"> </w:t>
    </w:r>
    <w:r w:rsidR="0065725D">
      <w:t>1</w:t>
    </w:r>
    <w:r w:rsidR="00641D44">
      <w:t>4.12.</w:t>
    </w:r>
    <w:r>
      <w:t>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66E42C" w14:textId="77777777" w:rsidR="004B6831" w:rsidRDefault="004B6831" w:rsidP="0070677C">
      <w:pPr>
        <w:spacing w:after="0" w:line="240" w:lineRule="auto"/>
      </w:pPr>
      <w:r>
        <w:separator/>
      </w:r>
    </w:p>
  </w:footnote>
  <w:footnote w:type="continuationSeparator" w:id="0">
    <w:p w14:paraId="4DBDC5B9" w14:textId="77777777" w:rsidR="004B6831" w:rsidRDefault="004B6831" w:rsidP="0070677C">
      <w:pPr>
        <w:spacing w:after="0" w:line="240" w:lineRule="auto"/>
      </w:pPr>
      <w:r>
        <w:continuationSeparator/>
      </w:r>
    </w:p>
  </w:footnote>
  <w:footnote w:id="1">
    <w:p w14:paraId="059B1710" w14:textId="77777777" w:rsidR="00B523A5" w:rsidRDefault="00B523A5" w:rsidP="000B088A">
      <w:pPr>
        <w:pStyle w:val="FootnoteText"/>
      </w:pPr>
      <w:r>
        <w:rPr>
          <w:rStyle w:val="FootnoteReference"/>
        </w:rPr>
        <w:footnoteRef/>
      </w:r>
      <w:r>
        <w:t xml:space="preserve"> (2019)</w:t>
      </w:r>
      <w:r w:rsidR="000B088A">
        <w:t xml:space="preserve"> </w:t>
      </w:r>
      <w:r>
        <w:t xml:space="preserve">EWHC 1993 (Admin) </w:t>
      </w:r>
      <w:proofErr w:type="spellStart"/>
      <w:r>
        <w:t>Monkhill</w:t>
      </w:r>
      <w:proofErr w:type="spellEnd"/>
      <w:r>
        <w:t xml:space="preserve"> ltd. </w:t>
      </w:r>
    </w:p>
  </w:footnote>
  <w:footnote w:id="2">
    <w:p w14:paraId="29D07EA1" w14:textId="77777777" w:rsidR="000B088A" w:rsidRPr="00397E86" w:rsidRDefault="000B088A" w:rsidP="00ED2807">
      <w:pPr>
        <w:pStyle w:val="Heading1"/>
        <w:spacing w:before="0" w:line="240" w:lineRule="auto"/>
        <w:textAlignment w:val="baseline"/>
        <w:rPr>
          <w:rFonts w:asciiTheme="minorHAnsi" w:hAnsiTheme="minorHAnsi" w:cstheme="minorHAnsi"/>
          <w:color w:val="3D3D3D"/>
          <w:sz w:val="20"/>
          <w:szCs w:val="20"/>
        </w:rPr>
      </w:pPr>
      <w:r w:rsidRPr="00397E86">
        <w:rPr>
          <w:rStyle w:val="FootnoteReference"/>
          <w:rFonts w:asciiTheme="minorHAnsi" w:hAnsiTheme="minorHAnsi" w:cstheme="minorHAnsi"/>
          <w:sz w:val="20"/>
          <w:szCs w:val="20"/>
        </w:rPr>
        <w:footnoteRef/>
      </w:r>
      <w:r w:rsidRPr="00397E86">
        <w:rPr>
          <w:rFonts w:asciiTheme="minorHAnsi" w:hAnsiTheme="minorHAnsi" w:cstheme="minorHAnsi"/>
          <w:sz w:val="20"/>
          <w:szCs w:val="20"/>
        </w:rPr>
        <w:t xml:space="preserve"> </w:t>
      </w:r>
      <w:r w:rsidRPr="00397E86">
        <w:rPr>
          <w:rFonts w:asciiTheme="minorHAnsi" w:eastAsiaTheme="minorHAnsi" w:hAnsiTheme="minorHAnsi" w:cstheme="minorHAnsi"/>
          <w:color w:val="auto"/>
          <w:sz w:val="20"/>
          <w:szCs w:val="20"/>
        </w:rPr>
        <w:t xml:space="preserve">Stroud District Council v Secretary of State for Communities and Local Government v </w:t>
      </w:r>
      <w:proofErr w:type="spellStart"/>
      <w:r w:rsidRPr="00397E86">
        <w:rPr>
          <w:rFonts w:asciiTheme="minorHAnsi" w:eastAsiaTheme="minorHAnsi" w:hAnsiTheme="minorHAnsi" w:cstheme="minorHAnsi"/>
          <w:color w:val="auto"/>
          <w:sz w:val="20"/>
          <w:szCs w:val="20"/>
        </w:rPr>
        <w:t>Gladman</w:t>
      </w:r>
      <w:proofErr w:type="spellEnd"/>
      <w:r w:rsidRPr="00397E86">
        <w:rPr>
          <w:rFonts w:asciiTheme="minorHAnsi" w:eastAsiaTheme="minorHAnsi" w:hAnsiTheme="minorHAnsi" w:cstheme="minorHAnsi"/>
          <w:color w:val="auto"/>
          <w:sz w:val="20"/>
          <w:szCs w:val="20"/>
        </w:rPr>
        <w:t xml:space="preserve"> Developments Limited</w:t>
      </w:r>
    </w:p>
    <w:p w14:paraId="3E96BAB5" w14:textId="77777777" w:rsidR="000B088A" w:rsidRDefault="000B088A">
      <w:pPr>
        <w:pStyle w:val="FootnoteText"/>
      </w:pPr>
    </w:p>
  </w:footnote>
  <w:footnote w:id="3">
    <w:p w14:paraId="3F79968A" w14:textId="5123DDD3" w:rsidR="00A17CA2" w:rsidRDefault="00A17CA2">
      <w:pPr>
        <w:pStyle w:val="FootnoteText"/>
      </w:pPr>
      <w:r>
        <w:rPr>
          <w:rStyle w:val="FootnoteReference"/>
        </w:rPr>
        <w:footnoteRef/>
      </w:r>
      <w:r>
        <w:t xml:space="preserve"> Although the Brixham Peninsula Neighbourhood Plan Group is strictly</w:t>
      </w:r>
      <w:r w:rsidR="00964964">
        <w:t xml:space="preserve"> speaking not</w:t>
      </w:r>
      <w:r>
        <w:t xml:space="preserve"> a “Neighbourhood Forum” but a working group of Brixham Town Council, it is often loosely referred to as a Forum and I use that </w:t>
      </w:r>
      <w:r w:rsidR="00964964">
        <w:t xml:space="preserve">term here for simplicity.   The appeal site falls within the Brixham Peninsula Neighbourhood Plan area, but is not within the Parished area of Brixham Town Council. </w:t>
      </w:r>
    </w:p>
  </w:footnote>
  <w:footnote w:id="4">
    <w:p w14:paraId="27B5714D" w14:textId="53FCFF5B" w:rsidR="00A0731D" w:rsidRDefault="00A0731D">
      <w:pPr>
        <w:pStyle w:val="FootnoteText"/>
      </w:pPr>
      <w:r w:rsidRPr="00641D44">
        <w:rPr>
          <w:rStyle w:val="FootnoteReference"/>
        </w:rPr>
        <w:footnoteRef/>
      </w:r>
      <w:r w:rsidRPr="00641D44">
        <w:t xml:space="preserve"> Holgate J </w:t>
      </w:r>
      <w:proofErr w:type="gramStart"/>
      <w:r w:rsidRPr="00641D44">
        <w:t xml:space="preserve">in  </w:t>
      </w:r>
      <w:proofErr w:type="spellStart"/>
      <w:r w:rsidRPr="00641D44">
        <w:t>Gladman</w:t>
      </w:r>
      <w:proofErr w:type="spellEnd"/>
      <w:proofErr w:type="gramEnd"/>
      <w:r w:rsidRPr="00641D44">
        <w:t xml:space="preserve"> v S of S MHCLG, Corby BC and </w:t>
      </w:r>
      <w:proofErr w:type="spellStart"/>
      <w:r w:rsidRPr="00641D44">
        <w:t>Uttlesfield</w:t>
      </w:r>
      <w:proofErr w:type="spellEnd"/>
      <w:r w:rsidRPr="00641D44">
        <w:t xml:space="preserve"> DC [2020] EWHC 518 (Admin).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EBD28A5"/>
    <w:multiLevelType w:val="hybridMultilevel"/>
    <w:tmpl w:val="B673681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341CC5"/>
    <w:multiLevelType w:val="hybridMultilevel"/>
    <w:tmpl w:val="D37822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C966B5"/>
    <w:multiLevelType w:val="hybridMultilevel"/>
    <w:tmpl w:val="4D90F1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8540123"/>
    <w:multiLevelType w:val="hybridMultilevel"/>
    <w:tmpl w:val="7E7CC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6229A1"/>
    <w:multiLevelType w:val="multilevel"/>
    <w:tmpl w:val="B538BE46"/>
    <w:lvl w:ilvl="0">
      <w:start w:val="13"/>
      <w:numFmt w:val="decimal"/>
      <w:lvlText w:val="%1"/>
      <w:lvlJc w:val="left"/>
      <w:pPr>
        <w:ind w:left="786" w:hanging="360"/>
      </w:pPr>
      <w:rPr>
        <w:rFonts w:hint="default"/>
      </w:rPr>
    </w:lvl>
    <w:lvl w:ilvl="1">
      <w:start w:val="1"/>
      <w:numFmt w:val="decimal"/>
      <w:isLgl/>
      <w:lvlText w:val="%1.%2"/>
      <w:lvlJc w:val="left"/>
      <w:pPr>
        <w:ind w:left="795" w:hanging="435"/>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1800" w:hanging="1440"/>
      </w:pPr>
      <w:rPr>
        <w:rFonts w:eastAsiaTheme="minorHAnsi" w:hint="default"/>
      </w:rPr>
    </w:lvl>
  </w:abstractNum>
  <w:abstractNum w:abstractNumId="5" w15:restartNumberingAfterBreak="0">
    <w:nsid w:val="1A45756B"/>
    <w:multiLevelType w:val="hybridMultilevel"/>
    <w:tmpl w:val="814262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833733"/>
    <w:multiLevelType w:val="hybridMultilevel"/>
    <w:tmpl w:val="4EF6AE1E"/>
    <w:lvl w:ilvl="0" w:tplc="5B80A3D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16239B"/>
    <w:multiLevelType w:val="hybridMultilevel"/>
    <w:tmpl w:val="2F227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5C26CC"/>
    <w:multiLevelType w:val="hybridMultilevel"/>
    <w:tmpl w:val="1F78C1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E40255B"/>
    <w:multiLevelType w:val="hybridMultilevel"/>
    <w:tmpl w:val="0B7E45E6"/>
    <w:lvl w:ilvl="0" w:tplc="149A9B16">
      <w:start w:val="14"/>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 w15:restartNumberingAfterBreak="0">
    <w:nsid w:val="244D5E22"/>
    <w:multiLevelType w:val="multilevel"/>
    <w:tmpl w:val="0A98C07E"/>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863737"/>
    <w:multiLevelType w:val="hybridMultilevel"/>
    <w:tmpl w:val="D1CE42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8AA38A9"/>
    <w:multiLevelType w:val="hybridMultilevel"/>
    <w:tmpl w:val="C570F5DE"/>
    <w:lvl w:ilvl="0" w:tplc="5B0423AC">
      <w:start w:val="58"/>
      <w:numFmt w:val="decimal"/>
      <w:lvlText w:val="%1."/>
      <w:lvlJc w:val="left"/>
      <w:pPr>
        <w:tabs>
          <w:tab w:val="num" w:pos="1503"/>
        </w:tabs>
        <w:ind w:left="1503" w:hanging="510"/>
      </w:pPr>
      <w:rPr>
        <w:rFonts w:hint="default"/>
        <w:b w:val="0"/>
        <w:color w:val="auto"/>
        <w:sz w:val="22"/>
        <w:szCs w:val="22"/>
      </w:rPr>
    </w:lvl>
    <w:lvl w:ilvl="1" w:tplc="BB9E4366">
      <w:start w:val="1"/>
      <w:numFmt w:val="bullet"/>
      <w:lvlText w:val=""/>
      <w:lvlJc w:val="left"/>
      <w:pPr>
        <w:tabs>
          <w:tab w:val="num" w:pos="2385"/>
        </w:tabs>
        <w:ind w:left="2385" w:hanging="454"/>
      </w:pPr>
      <w:rPr>
        <w:rFonts w:ascii="Wingdings" w:hAnsi="Wingdings" w:hint="default"/>
        <w:color w:val="auto"/>
      </w:rPr>
    </w:lvl>
    <w:lvl w:ilvl="2" w:tplc="0809001B">
      <w:start w:val="1"/>
      <w:numFmt w:val="lowerRoman"/>
      <w:lvlText w:val="%3."/>
      <w:lvlJc w:val="right"/>
      <w:pPr>
        <w:tabs>
          <w:tab w:val="num" w:pos="3011"/>
        </w:tabs>
        <w:ind w:left="3011" w:hanging="180"/>
      </w:pPr>
    </w:lvl>
    <w:lvl w:ilvl="3" w:tplc="0809000F">
      <w:start w:val="1"/>
      <w:numFmt w:val="decimal"/>
      <w:lvlText w:val="%4."/>
      <w:lvlJc w:val="left"/>
      <w:pPr>
        <w:tabs>
          <w:tab w:val="num" w:pos="3731"/>
        </w:tabs>
        <w:ind w:left="3731" w:hanging="360"/>
      </w:pPr>
    </w:lvl>
    <w:lvl w:ilvl="4" w:tplc="08090019">
      <w:start w:val="1"/>
      <w:numFmt w:val="lowerLetter"/>
      <w:lvlText w:val="%5."/>
      <w:lvlJc w:val="left"/>
      <w:pPr>
        <w:tabs>
          <w:tab w:val="num" w:pos="4451"/>
        </w:tabs>
        <w:ind w:left="4451" w:hanging="360"/>
      </w:pPr>
    </w:lvl>
    <w:lvl w:ilvl="5" w:tplc="0809001B">
      <w:start w:val="1"/>
      <w:numFmt w:val="lowerRoman"/>
      <w:lvlText w:val="%6."/>
      <w:lvlJc w:val="right"/>
      <w:pPr>
        <w:tabs>
          <w:tab w:val="num" w:pos="5171"/>
        </w:tabs>
        <w:ind w:left="5171" w:hanging="180"/>
      </w:pPr>
    </w:lvl>
    <w:lvl w:ilvl="6" w:tplc="0809000F">
      <w:start w:val="1"/>
      <w:numFmt w:val="decimal"/>
      <w:lvlText w:val="%7."/>
      <w:lvlJc w:val="left"/>
      <w:pPr>
        <w:tabs>
          <w:tab w:val="num" w:pos="5891"/>
        </w:tabs>
        <w:ind w:left="5891" w:hanging="360"/>
      </w:pPr>
    </w:lvl>
    <w:lvl w:ilvl="7" w:tplc="08090019">
      <w:start w:val="1"/>
      <w:numFmt w:val="lowerLetter"/>
      <w:lvlText w:val="%8."/>
      <w:lvlJc w:val="left"/>
      <w:pPr>
        <w:tabs>
          <w:tab w:val="num" w:pos="6611"/>
        </w:tabs>
        <w:ind w:left="6611" w:hanging="360"/>
      </w:pPr>
    </w:lvl>
    <w:lvl w:ilvl="8" w:tplc="0809001B">
      <w:start w:val="1"/>
      <w:numFmt w:val="lowerRoman"/>
      <w:lvlText w:val="%9."/>
      <w:lvlJc w:val="right"/>
      <w:pPr>
        <w:tabs>
          <w:tab w:val="num" w:pos="7331"/>
        </w:tabs>
        <w:ind w:left="7331" w:hanging="180"/>
      </w:pPr>
    </w:lvl>
  </w:abstractNum>
  <w:abstractNum w:abstractNumId="13" w15:restartNumberingAfterBreak="0">
    <w:nsid w:val="29485904"/>
    <w:multiLevelType w:val="hybridMultilevel"/>
    <w:tmpl w:val="7C9C0310"/>
    <w:lvl w:ilvl="0" w:tplc="AE2AEBF0">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55D662E"/>
    <w:multiLevelType w:val="hybridMultilevel"/>
    <w:tmpl w:val="504E232C"/>
    <w:lvl w:ilvl="0" w:tplc="08090011">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A20688"/>
    <w:multiLevelType w:val="hybridMultilevel"/>
    <w:tmpl w:val="C84A427C"/>
    <w:lvl w:ilvl="0" w:tplc="928A4282">
      <w:start w:val="1"/>
      <w:numFmt w:val="decimal"/>
      <w:lvlText w:val="%1."/>
      <w:lvlJc w:val="left"/>
      <w:pPr>
        <w:ind w:left="644" w:hanging="360"/>
      </w:pPr>
      <w:rPr>
        <w:rFonts w:eastAsia="Times New Roman" w:cs="Arial" w:hint="default"/>
        <w:strike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3E4C2CEF"/>
    <w:multiLevelType w:val="hybridMultilevel"/>
    <w:tmpl w:val="643AA3E0"/>
    <w:lvl w:ilvl="0" w:tplc="08090011">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61630D"/>
    <w:multiLevelType w:val="hybridMultilevel"/>
    <w:tmpl w:val="B568E19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400F63"/>
    <w:multiLevelType w:val="hybridMultilevel"/>
    <w:tmpl w:val="7DE4F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38139C"/>
    <w:multiLevelType w:val="hybridMultilevel"/>
    <w:tmpl w:val="10C6D27E"/>
    <w:lvl w:ilvl="0" w:tplc="E6BAF91A">
      <w:start w:val="1"/>
      <w:numFmt w:val="decimal"/>
      <w:lvlText w:val="%1)"/>
      <w:lvlJc w:val="left"/>
      <w:pPr>
        <w:ind w:left="720" w:hanging="360"/>
      </w:pPr>
      <w:rPr>
        <w:rFonts w:ascii="Verdana" w:eastAsia="Times New Roman" w:hAnsi="Verdana" w:cs="Times New Roman"/>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4843ECF"/>
    <w:multiLevelType w:val="multilevel"/>
    <w:tmpl w:val="8670D66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69D3AE4"/>
    <w:multiLevelType w:val="hybridMultilevel"/>
    <w:tmpl w:val="42E23EF6"/>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AA96CEC"/>
    <w:multiLevelType w:val="multilevel"/>
    <w:tmpl w:val="B538BE46"/>
    <w:lvl w:ilvl="0">
      <w:start w:val="13"/>
      <w:numFmt w:val="decimal"/>
      <w:lvlText w:val="%1"/>
      <w:lvlJc w:val="left"/>
      <w:pPr>
        <w:ind w:left="786" w:hanging="360"/>
      </w:pPr>
      <w:rPr>
        <w:rFonts w:hint="default"/>
      </w:rPr>
    </w:lvl>
    <w:lvl w:ilvl="1">
      <w:start w:val="1"/>
      <w:numFmt w:val="decimal"/>
      <w:isLgl/>
      <w:lvlText w:val="%1.%2"/>
      <w:lvlJc w:val="left"/>
      <w:pPr>
        <w:ind w:left="795" w:hanging="435"/>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1800" w:hanging="1440"/>
      </w:pPr>
      <w:rPr>
        <w:rFonts w:eastAsiaTheme="minorHAnsi" w:hint="default"/>
      </w:rPr>
    </w:lvl>
  </w:abstractNum>
  <w:abstractNum w:abstractNumId="23" w15:restartNumberingAfterBreak="0">
    <w:nsid w:val="4B694D9D"/>
    <w:multiLevelType w:val="hybridMultilevel"/>
    <w:tmpl w:val="145C6E2C"/>
    <w:lvl w:ilvl="0" w:tplc="A564887A">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C1C00BA"/>
    <w:multiLevelType w:val="hybridMultilevel"/>
    <w:tmpl w:val="897496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6C2812"/>
    <w:multiLevelType w:val="multilevel"/>
    <w:tmpl w:val="076276C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6CA530B"/>
    <w:multiLevelType w:val="multilevel"/>
    <w:tmpl w:val="1D0A52B8"/>
    <w:lvl w:ilvl="0">
      <w:start w:val="1"/>
      <w:numFmt w:val="decimal"/>
      <w:lvlText w:val="%1."/>
      <w:lvlJc w:val="left"/>
      <w:pPr>
        <w:ind w:left="720" w:hanging="360"/>
      </w:pPr>
      <w:rPr>
        <w:rFonts w:hint="default"/>
      </w:rPr>
    </w:lvl>
    <w:lvl w:ilvl="1">
      <w:start w:val="16"/>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4236676"/>
    <w:multiLevelType w:val="multilevel"/>
    <w:tmpl w:val="F6583B6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69B05AD"/>
    <w:multiLevelType w:val="hybridMultilevel"/>
    <w:tmpl w:val="DAE896B8"/>
    <w:lvl w:ilvl="0" w:tplc="A4C0E794">
      <w:start w:val="1"/>
      <w:numFmt w:val="decimal"/>
      <w:lvlText w:val="%1)"/>
      <w:lvlJc w:val="left"/>
      <w:pPr>
        <w:ind w:left="1080" w:hanging="360"/>
      </w:pPr>
      <w:rPr>
        <w:rFonts w:eastAsiaTheme="minorHAnsi" w:cstheme="minorBidi" w:hint="default"/>
        <w:b/>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F816B01"/>
    <w:multiLevelType w:val="multilevel"/>
    <w:tmpl w:val="96F84A6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15:restartNumberingAfterBreak="0">
    <w:nsid w:val="773D2748"/>
    <w:multiLevelType w:val="hybridMultilevel"/>
    <w:tmpl w:val="091CC89E"/>
    <w:lvl w:ilvl="0" w:tplc="AE2AEBF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DA57712"/>
    <w:multiLevelType w:val="hybridMultilevel"/>
    <w:tmpl w:val="D6704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B13DC5"/>
    <w:multiLevelType w:val="hybridMultilevel"/>
    <w:tmpl w:val="1FD80424"/>
    <w:lvl w:ilvl="0" w:tplc="1C08AF9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2"/>
  </w:num>
  <w:num w:numId="2">
    <w:abstractNumId w:val="16"/>
  </w:num>
  <w:num w:numId="3">
    <w:abstractNumId w:val="26"/>
  </w:num>
  <w:num w:numId="4">
    <w:abstractNumId w:val="13"/>
  </w:num>
  <w:num w:numId="5">
    <w:abstractNumId w:val="31"/>
  </w:num>
  <w:num w:numId="6">
    <w:abstractNumId w:val="18"/>
  </w:num>
  <w:num w:numId="7">
    <w:abstractNumId w:val="2"/>
  </w:num>
  <w:num w:numId="8">
    <w:abstractNumId w:val="5"/>
  </w:num>
  <w:num w:numId="9">
    <w:abstractNumId w:val="28"/>
  </w:num>
  <w:num w:numId="10">
    <w:abstractNumId w:val="24"/>
  </w:num>
  <w:num w:numId="11">
    <w:abstractNumId w:val="7"/>
  </w:num>
  <w:num w:numId="12">
    <w:abstractNumId w:val="3"/>
  </w:num>
  <w:num w:numId="13">
    <w:abstractNumId w:val="8"/>
  </w:num>
  <w:num w:numId="14">
    <w:abstractNumId w:val="1"/>
  </w:num>
  <w:num w:numId="15">
    <w:abstractNumId w:val="17"/>
  </w:num>
  <w:num w:numId="16">
    <w:abstractNumId w:val="20"/>
  </w:num>
  <w:num w:numId="17">
    <w:abstractNumId w:val="0"/>
  </w:num>
  <w:num w:numId="18">
    <w:abstractNumId w:val="14"/>
  </w:num>
  <w:num w:numId="19">
    <w:abstractNumId w:val="22"/>
  </w:num>
  <w:num w:numId="20">
    <w:abstractNumId w:val="30"/>
  </w:num>
  <w:num w:numId="21">
    <w:abstractNumId w:val="21"/>
  </w:num>
  <w:num w:numId="22">
    <w:abstractNumId w:val="6"/>
  </w:num>
  <w:num w:numId="23">
    <w:abstractNumId w:val="9"/>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25"/>
  </w:num>
  <w:num w:numId="27">
    <w:abstractNumId w:val="19"/>
  </w:num>
  <w:num w:numId="28">
    <w:abstractNumId w:val="15"/>
  </w:num>
  <w:num w:numId="29">
    <w:abstractNumId w:val="27"/>
  </w:num>
  <w:num w:numId="30">
    <w:abstractNumId w:val="11"/>
  </w:num>
  <w:num w:numId="31">
    <w:abstractNumId w:val="10"/>
  </w:num>
  <w:num w:numId="32">
    <w:abstractNumId w:val="12"/>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756"/>
    <w:rsid w:val="000112FC"/>
    <w:rsid w:val="000157D2"/>
    <w:rsid w:val="0002144B"/>
    <w:rsid w:val="00024F44"/>
    <w:rsid w:val="00026249"/>
    <w:rsid w:val="000272B1"/>
    <w:rsid w:val="00027A59"/>
    <w:rsid w:val="0003211B"/>
    <w:rsid w:val="00040E0D"/>
    <w:rsid w:val="0004415C"/>
    <w:rsid w:val="00050BAE"/>
    <w:rsid w:val="00055EEB"/>
    <w:rsid w:val="00060DDA"/>
    <w:rsid w:val="00060F94"/>
    <w:rsid w:val="000613A3"/>
    <w:rsid w:val="00067567"/>
    <w:rsid w:val="00076ABC"/>
    <w:rsid w:val="00081763"/>
    <w:rsid w:val="00087B59"/>
    <w:rsid w:val="00095E92"/>
    <w:rsid w:val="00096E63"/>
    <w:rsid w:val="0009747F"/>
    <w:rsid w:val="000A7F3C"/>
    <w:rsid w:val="000B088A"/>
    <w:rsid w:val="000B3109"/>
    <w:rsid w:val="000B3B18"/>
    <w:rsid w:val="000B3F2F"/>
    <w:rsid w:val="000B72DF"/>
    <w:rsid w:val="000C10FA"/>
    <w:rsid w:val="000C450B"/>
    <w:rsid w:val="000C6D34"/>
    <w:rsid w:val="000D19A3"/>
    <w:rsid w:val="000E31ED"/>
    <w:rsid w:val="000F3D90"/>
    <w:rsid w:val="000F53A5"/>
    <w:rsid w:val="000F56AB"/>
    <w:rsid w:val="000F5960"/>
    <w:rsid w:val="001208EB"/>
    <w:rsid w:val="00122EB5"/>
    <w:rsid w:val="001322D8"/>
    <w:rsid w:val="001363D5"/>
    <w:rsid w:val="00136ED5"/>
    <w:rsid w:val="001413A2"/>
    <w:rsid w:val="00153B47"/>
    <w:rsid w:val="001645D9"/>
    <w:rsid w:val="001714B6"/>
    <w:rsid w:val="00172C41"/>
    <w:rsid w:val="00173058"/>
    <w:rsid w:val="00180B26"/>
    <w:rsid w:val="001814B2"/>
    <w:rsid w:val="001818E8"/>
    <w:rsid w:val="001876C4"/>
    <w:rsid w:val="00190AC7"/>
    <w:rsid w:val="001929AA"/>
    <w:rsid w:val="00193418"/>
    <w:rsid w:val="00195CF6"/>
    <w:rsid w:val="0019609A"/>
    <w:rsid w:val="001A383E"/>
    <w:rsid w:val="001A5B05"/>
    <w:rsid w:val="001A6013"/>
    <w:rsid w:val="001B090E"/>
    <w:rsid w:val="001B0CB9"/>
    <w:rsid w:val="001B295C"/>
    <w:rsid w:val="001B63F7"/>
    <w:rsid w:val="001D412E"/>
    <w:rsid w:val="001D7602"/>
    <w:rsid w:val="001D7B8D"/>
    <w:rsid w:val="001E1193"/>
    <w:rsid w:val="001E556A"/>
    <w:rsid w:val="0021175C"/>
    <w:rsid w:val="0021351A"/>
    <w:rsid w:val="00223598"/>
    <w:rsid w:val="002240B2"/>
    <w:rsid w:val="00241166"/>
    <w:rsid w:val="002418E7"/>
    <w:rsid w:val="00243028"/>
    <w:rsid w:val="0024411C"/>
    <w:rsid w:val="00244F35"/>
    <w:rsid w:val="00245408"/>
    <w:rsid w:val="0027531E"/>
    <w:rsid w:val="00276368"/>
    <w:rsid w:val="00280B24"/>
    <w:rsid w:val="00284C03"/>
    <w:rsid w:val="0028728E"/>
    <w:rsid w:val="002937B0"/>
    <w:rsid w:val="00293F2E"/>
    <w:rsid w:val="002943CC"/>
    <w:rsid w:val="00294B4D"/>
    <w:rsid w:val="00294F33"/>
    <w:rsid w:val="002A622F"/>
    <w:rsid w:val="002B008C"/>
    <w:rsid w:val="002B1934"/>
    <w:rsid w:val="002B5762"/>
    <w:rsid w:val="002B6AA9"/>
    <w:rsid w:val="002C4DDF"/>
    <w:rsid w:val="002D392B"/>
    <w:rsid w:val="002D6928"/>
    <w:rsid w:val="002F2C56"/>
    <w:rsid w:val="002F4ADC"/>
    <w:rsid w:val="00302C46"/>
    <w:rsid w:val="00304D60"/>
    <w:rsid w:val="00304EF7"/>
    <w:rsid w:val="00306346"/>
    <w:rsid w:val="0031679E"/>
    <w:rsid w:val="00322145"/>
    <w:rsid w:val="003224AC"/>
    <w:rsid w:val="003227B1"/>
    <w:rsid w:val="0032319B"/>
    <w:rsid w:val="00324CD7"/>
    <w:rsid w:val="00336780"/>
    <w:rsid w:val="00336BB9"/>
    <w:rsid w:val="00337821"/>
    <w:rsid w:val="003412B6"/>
    <w:rsid w:val="0034166E"/>
    <w:rsid w:val="00345835"/>
    <w:rsid w:val="003609A7"/>
    <w:rsid w:val="00361A2C"/>
    <w:rsid w:val="00361A58"/>
    <w:rsid w:val="00364A69"/>
    <w:rsid w:val="0036656B"/>
    <w:rsid w:val="003676F3"/>
    <w:rsid w:val="00367756"/>
    <w:rsid w:val="00371A3B"/>
    <w:rsid w:val="00372E75"/>
    <w:rsid w:val="003761E2"/>
    <w:rsid w:val="003810B5"/>
    <w:rsid w:val="00384A17"/>
    <w:rsid w:val="00385615"/>
    <w:rsid w:val="00391ECC"/>
    <w:rsid w:val="00397E86"/>
    <w:rsid w:val="003A001F"/>
    <w:rsid w:val="003A1D29"/>
    <w:rsid w:val="003B1D8F"/>
    <w:rsid w:val="003B3EB6"/>
    <w:rsid w:val="003B5F41"/>
    <w:rsid w:val="003B7528"/>
    <w:rsid w:val="003C16FF"/>
    <w:rsid w:val="003C6266"/>
    <w:rsid w:val="003D2882"/>
    <w:rsid w:val="003D5F16"/>
    <w:rsid w:val="003E179C"/>
    <w:rsid w:val="003E26CF"/>
    <w:rsid w:val="003E3DBF"/>
    <w:rsid w:val="003E42A5"/>
    <w:rsid w:val="003E69CB"/>
    <w:rsid w:val="003F18B7"/>
    <w:rsid w:val="003F24D1"/>
    <w:rsid w:val="003F514A"/>
    <w:rsid w:val="00415A6D"/>
    <w:rsid w:val="004176C9"/>
    <w:rsid w:val="00427146"/>
    <w:rsid w:val="004273D8"/>
    <w:rsid w:val="00431046"/>
    <w:rsid w:val="0043526D"/>
    <w:rsid w:val="004409B3"/>
    <w:rsid w:val="004411B7"/>
    <w:rsid w:val="00442BFF"/>
    <w:rsid w:val="0045221A"/>
    <w:rsid w:val="00452753"/>
    <w:rsid w:val="00456C61"/>
    <w:rsid w:val="00464F42"/>
    <w:rsid w:val="004760B5"/>
    <w:rsid w:val="00480ABF"/>
    <w:rsid w:val="004842F6"/>
    <w:rsid w:val="00484A52"/>
    <w:rsid w:val="004854CD"/>
    <w:rsid w:val="00485536"/>
    <w:rsid w:val="00491A37"/>
    <w:rsid w:val="00497F6A"/>
    <w:rsid w:val="004A54BB"/>
    <w:rsid w:val="004A5C14"/>
    <w:rsid w:val="004A7541"/>
    <w:rsid w:val="004A77CC"/>
    <w:rsid w:val="004A7FC7"/>
    <w:rsid w:val="004B5EBD"/>
    <w:rsid w:val="004B6831"/>
    <w:rsid w:val="004B747B"/>
    <w:rsid w:val="004D6733"/>
    <w:rsid w:val="004E2C88"/>
    <w:rsid w:val="004E4469"/>
    <w:rsid w:val="004E59DB"/>
    <w:rsid w:val="004F41E3"/>
    <w:rsid w:val="00505345"/>
    <w:rsid w:val="00506F5E"/>
    <w:rsid w:val="00510AD8"/>
    <w:rsid w:val="005154AC"/>
    <w:rsid w:val="00520522"/>
    <w:rsid w:val="0052770B"/>
    <w:rsid w:val="0053733F"/>
    <w:rsid w:val="00537884"/>
    <w:rsid w:val="005429B5"/>
    <w:rsid w:val="00543A28"/>
    <w:rsid w:val="00546795"/>
    <w:rsid w:val="00546796"/>
    <w:rsid w:val="00556986"/>
    <w:rsid w:val="005635A2"/>
    <w:rsid w:val="005657F0"/>
    <w:rsid w:val="00577AB7"/>
    <w:rsid w:val="00582D18"/>
    <w:rsid w:val="005832E0"/>
    <w:rsid w:val="005855B4"/>
    <w:rsid w:val="00592E63"/>
    <w:rsid w:val="00593730"/>
    <w:rsid w:val="005A1E7E"/>
    <w:rsid w:val="005B17EE"/>
    <w:rsid w:val="005C0A38"/>
    <w:rsid w:val="005C4F3E"/>
    <w:rsid w:val="005C7D64"/>
    <w:rsid w:val="005D50A7"/>
    <w:rsid w:val="005E00A1"/>
    <w:rsid w:val="005E214E"/>
    <w:rsid w:val="005E7A61"/>
    <w:rsid w:val="005F7C32"/>
    <w:rsid w:val="00600E68"/>
    <w:rsid w:val="00605375"/>
    <w:rsid w:val="00605F1B"/>
    <w:rsid w:val="0062073B"/>
    <w:rsid w:val="00631F92"/>
    <w:rsid w:val="006377EC"/>
    <w:rsid w:val="00641D44"/>
    <w:rsid w:val="00641DD4"/>
    <w:rsid w:val="00643F0A"/>
    <w:rsid w:val="00646175"/>
    <w:rsid w:val="0064686B"/>
    <w:rsid w:val="0065070D"/>
    <w:rsid w:val="00654146"/>
    <w:rsid w:val="006549C3"/>
    <w:rsid w:val="00656298"/>
    <w:rsid w:val="0065725D"/>
    <w:rsid w:val="00661F59"/>
    <w:rsid w:val="00667E90"/>
    <w:rsid w:val="00672643"/>
    <w:rsid w:val="0067498E"/>
    <w:rsid w:val="006756B7"/>
    <w:rsid w:val="0068034C"/>
    <w:rsid w:val="0068080C"/>
    <w:rsid w:val="00693721"/>
    <w:rsid w:val="00694C8B"/>
    <w:rsid w:val="006A1C09"/>
    <w:rsid w:val="006A73FD"/>
    <w:rsid w:val="006C07D0"/>
    <w:rsid w:val="006C312A"/>
    <w:rsid w:val="006C4BAD"/>
    <w:rsid w:val="006C7AD1"/>
    <w:rsid w:val="006D6140"/>
    <w:rsid w:val="006D667D"/>
    <w:rsid w:val="006D782F"/>
    <w:rsid w:val="006F64FD"/>
    <w:rsid w:val="006F7355"/>
    <w:rsid w:val="00702F6C"/>
    <w:rsid w:val="00705B9B"/>
    <w:rsid w:val="00705C2C"/>
    <w:rsid w:val="0070677C"/>
    <w:rsid w:val="007110AE"/>
    <w:rsid w:val="007149F4"/>
    <w:rsid w:val="0072052E"/>
    <w:rsid w:val="007213FA"/>
    <w:rsid w:val="00722E99"/>
    <w:rsid w:val="00723662"/>
    <w:rsid w:val="007238A5"/>
    <w:rsid w:val="00725AC9"/>
    <w:rsid w:val="00727186"/>
    <w:rsid w:val="00727CC0"/>
    <w:rsid w:val="0073175E"/>
    <w:rsid w:val="00734E8E"/>
    <w:rsid w:val="007403EB"/>
    <w:rsid w:val="00742F57"/>
    <w:rsid w:val="00743DE1"/>
    <w:rsid w:val="007518C9"/>
    <w:rsid w:val="00751FE9"/>
    <w:rsid w:val="00756F6A"/>
    <w:rsid w:val="00763FCA"/>
    <w:rsid w:val="007665B3"/>
    <w:rsid w:val="00770425"/>
    <w:rsid w:val="007853EE"/>
    <w:rsid w:val="00790CD6"/>
    <w:rsid w:val="00793CCA"/>
    <w:rsid w:val="00795230"/>
    <w:rsid w:val="007B1DBE"/>
    <w:rsid w:val="007D1968"/>
    <w:rsid w:val="007E3BA8"/>
    <w:rsid w:val="007E5629"/>
    <w:rsid w:val="007F035A"/>
    <w:rsid w:val="007F489A"/>
    <w:rsid w:val="007F6CA5"/>
    <w:rsid w:val="00804F11"/>
    <w:rsid w:val="0080759E"/>
    <w:rsid w:val="008127C3"/>
    <w:rsid w:val="00813606"/>
    <w:rsid w:val="008136B1"/>
    <w:rsid w:val="00815DE6"/>
    <w:rsid w:val="008161FE"/>
    <w:rsid w:val="00825E4F"/>
    <w:rsid w:val="00831102"/>
    <w:rsid w:val="00833851"/>
    <w:rsid w:val="00833FF9"/>
    <w:rsid w:val="0083473F"/>
    <w:rsid w:val="008373B5"/>
    <w:rsid w:val="00845FB3"/>
    <w:rsid w:val="0085317E"/>
    <w:rsid w:val="00854D74"/>
    <w:rsid w:val="00855D09"/>
    <w:rsid w:val="00857841"/>
    <w:rsid w:val="00861BEE"/>
    <w:rsid w:val="00867917"/>
    <w:rsid w:val="00870FFC"/>
    <w:rsid w:val="008718E3"/>
    <w:rsid w:val="00891555"/>
    <w:rsid w:val="0089773E"/>
    <w:rsid w:val="008A18D4"/>
    <w:rsid w:val="008A5EA2"/>
    <w:rsid w:val="008B2DE2"/>
    <w:rsid w:val="008B50A2"/>
    <w:rsid w:val="008B62D5"/>
    <w:rsid w:val="008C0CD2"/>
    <w:rsid w:val="008C371B"/>
    <w:rsid w:val="008D1082"/>
    <w:rsid w:val="008D10EC"/>
    <w:rsid w:val="008D4A2A"/>
    <w:rsid w:val="008D7476"/>
    <w:rsid w:val="008D7A8C"/>
    <w:rsid w:val="008E2A73"/>
    <w:rsid w:val="008E5FB2"/>
    <w:rsid w:val="008F0681"/>
    <w:rsid w:val="008F24B1"/>
    <w:rsid w:val="008F2747"/>
    <w:rsid w:val="008F307E"/>
    <w:rsid w:val="008F7B00"/>
    <w:rsid w:val="0090591F"/>
    <w:rsid w:val="00907E28"/>
    <w:rsid w:val="00910921"/>
    <w:rsid w:val="00911A3D"/>
    <w:rsid w:val="009123E3"/>
    <w:rsid w:val="0092561B"/>
    <w:rsid w:val="00927137"/>
    <w:rsid w:val="0093034F"/>
    <w:rsid w:val="0093358F"/>
    <w:rsid w:val="00934EF8"/>
    <w:rsid w:val="00935C95"/>
    <w:rsid w:val="00941574"/>
    <w:rsid w:val="00950401"/>
    <w:rsid w:val="00950DE0"/>
    <w:rsid w:val="00953451"/>
    <w:rsid w:val="00960DBB"/>
    <w:rsid w:val="00961C90"/>
    <w:rsid w:val="00964964"/>
    <w:rsid w:val="00965435"/>
    <w:rsid w:val="0097346D"/>
    <w:rsid w:val="00975B37"/>
    <w:rsid w:val="00997D75"/>
    <w:rsid w:val="009A3931"/>
    <w:rsid w:val="009A47D1"/>
    <w:rsid w:val="009A643D"/>
    <w:rsid w:val="009A756B"/>
    <w:rsid w:val="009B15AE"/>
    <w:rsid w:val="009B2993"/>
    <w:rsid w:val="009C5967"/>
    <w:rsid w:val="009C702E"/>
    <w:rsid w:val="009D2E3A"/>
    <w:rsid w:val="009D3E1C"/>
    <w:rsid w:val="009D4C94"/>
    <w:rsid w:val="009D5060"/>
    <w:rsid w:val="009D7005"/>
    <w:rsid w:val="009E26C1"/>
    <w:rsid w:val="009F7F3E"/>
    <w:rsid w:val="00A022CB"/>
    <w:rsid w:val="00A03425"/>
    <w:rsid w:val="00A062FF"/>
    <w:rsid w:val="00A0731D"/>
    <w:rsid w:val="00A103B9"/>
    <w:rsid w:val="00A1799C"/>
    <w:rsid w:val="00A17CA2"/>
    <w:rsid w:val="00A2112D"/>
    <w:rsid w:val="00A23DBC"/>
    <w:rsid w:val="00A31BEE"/>
    <w:rsid w:val="00A324B8"/>
    <w:rsid w:val="00A324DD"/>
    <w:rsid w:val="00A347E6"/>
    <w:rsid w:val="00A36C35"/>
    <w:rsid w:val="00A40B40"/>
    <w:rsid w:val="00A41A85"/>
    <w:rsid w:val="00A47EE0"/>
    <w:rsid w:val="00A5005E"/>
    <w:rsid w:val="00A51000"/>
    <w:rsid w:val="00A51405"/>
    <w:rsid w:val="00A54386"/>
    <w:rsid w:val="00A6070B"/>
    <w:rsid w:val="00A741E9"/>
    <w:rsid w:val="00A76EC6"/>
    <w:rsid w:val="00A84A53"/>
    <w:rsid w:val="00A967D9"/>
    <w:rsid w:val="00AA221B"/>
    <w:rsid w:val="00AA23BB"/>
    <w:rsid w:val="00AA46C3"/>
    <w:rsid w:val="00AA49BB"/>
    <w:rsid w:val="00AB2A0D"/>
    <w:rsid w:val="00AB2ACE"/>
    <w:rsid w:val="00AB4AF4"/>
    <w:rsid w:val="00AC25D9"/>
    <w:rsid w:val="00AD1694"/>
    <w:rsid w:val="00AD263B"/>
    <w:rsid w:val="00AD27F7"/>
    <w:rsid w:val="00AD6D9C"/>
    <w:rsid w:val="00AD71E6"/>
    <w:rsid w:val="00AE2BD8"/>
    <w:rsid w:val="00AE34DE"/>
    <w:rsid w:val="00AF04D4"/>
    <w:rsid w:val="00AF6646"/>
    <w:rsid w:val="00B05DA4"/>
    <w:rsid w:val="00B05DDB"/>
    <w:rsid w:val="00B06997"/>
    <w:rsid w:val="00B07F52"/>
    <w:rsid w:val="00B11540"/>
    <w:rsid w:val="00B12B14"/>
    <w:rsid w:val="00B17AE4"/>
    <w:rsid w:val="00B236E8"/>
    <w:rsid w:val="00B252A9"/>
    <w:rsid w:val="00B26582"/>
    <w:rsid w:val="00B26FF9"/>
    <w:rsid w:val="00B3097E"/>
    <w:rsid w:val="00B353FD"/>
    <w:rsid w:val="00B45C55"/>
    <w:rsid w:val="00B50146"/>
    <w:rsid w:val="00B523A5"/>
    <w:rsid w:val="00B57BAD"/>
    <w:rsid w:val="00B67B13"/>
    <w:rsid w:val="00B76F78"/>
    <w:rsid w:val="00B83C85"/>
    <w:rsid w:val="00B84755"/>
    <w:rsid w:val="00B91E75"/>
    <w:rsid w:val="00B939A4"/>
    <w:rsid w:val="00B94600"/>
    <w:rsid w:val="00BA04B2"/>
    <w:rsid w:val="00BC1087"/>
    <w:rsid w:val="00BC2A45"/>
    <w:rsid w:val="00BC6969"/>
    <w:rsid w:val="00BD2455"/>
    <w:rsid w:val="00BD3B49"/>
    <w:rsid w:val="00BD4C09"/>
    <w:rsid w:val="00BD5F53"/>
    <w:rsid w:val="00BD6598"/>
    <w:rsid w:val="00BE4471"/>
    <w:rsid w:val="00BE45AB"/>
    <w:rsid w:val="00BE691B"/>
    <w:rsid w:val="00C00439"/>
    <w:rsid w:val="00C142F8"/>
    <w:rsid w:val="00C159D0"/>
    <w:rsid w:val="00C200A0"/>
    <w:rsid w:val="00C22602"/>
    <w:rsid w:val="00C26940"/>
    <w:rsid w:val="00C30D59"/>
    <w:rsid w:val="00C34A9A"/>
    <w:rsid w:val="00C41062"/>
    <w:rsid w:val="00C425F9"/>
    <w:rsid w:val="00C434D5"/>
    <w:rsid w:val="00C4481D"/>
    <w:rsid w:val="00C459BD"/>
    <w:rsid w:val="00C46F58"/>
    <w:rsid w:val="00C62A99"/>
    <w:rsid w:val="00C672BE"/>
    <w:rsid w:val="00C751CB"/>
    <w:rsid w:val="00C8192A"/>
    <w:rsid w:val="00C8297F"/>
    <w:rsid w:val="00C857B5"/>
    <w:rsid w:val="00CA105C"/>
    <w:rsid w:val="00CA2EAF"/>
    <w:rsid w:val="00CA3A31"/>
    <w:rsid w:val="00CB5130"/>
    <w:rsid w:val="00CB57E7"/>
    <w:rsid w:val="00CB5A76"/>
    <w:rsid w:val="00CD0156"/>
    <w:rsid w:val="00CD2CD1"/>
    <w:rsid w:val="00CD5749"/>
    <w:rsid w:val="00CD7769"/>
    <w:rsid w:val="00CE4747"/>
    <w:rsid w:val="00CF2867"/>
    <w:rsid w:val="00CF49CC"/>
    <w:rsid w:val="00CF4AFA"/>
    <w:rsid w:val="00CF64A9"/>
    <w:rsid w:val="00D0152C"/>
    <w:rsid w:val="00D03305"/>
    <w:rsid w:val="00D04C5F"/>
    <w:rsid w:val="00D11116"/>
    <w:rsid w:val="00D13AA5"/>
    <w:rsid w:val="00D167E5"/>
    <w:rsid w:val="00D16ACD"/>
    <w:rsid w:val="00D20517"/>
    <w:rsid w:val="00D23443"/>
    <w:rsid w:val="00D23DE3"/>
    <w:rsid w:val="00D33B0D"/>
    <w:rsid w:val="00D34260"/>
    <w:rsid w:val="00D34C23"/>
    <w:rsid w:val="00D34F99"/>
    <w:rsid w:val="00D359BB"/>
    <w:rsid w:val="00D37A21"/>
    <w:rsid w:val="00D45167"/>
    <w:rsid w:val="00D4713A"/>
    <w:rsid w:val="00D51B19"/>
    <w:rsid w:val="00D51CDD"/>
    <w:rsid w:val="00D609B6"/>
    <w:rsid w:val="00D7234B"/>
    <w:rsid w:val="00D76920"/>
    <w:rsid w:val="00D76DC9"/>
    <w:rsid w:val="00D771C1"/>
    <w:rsid w:val="00D81145"/>
    <w:rsid w:val="00D85861"/>
    <w:rsid w:val="00D91DCA"/>
    <w:rsid w:val="00D969F3"/>
    <w:rsid w:val="00DA1029"/>
    <w:rsid w:val="00DB19AB"/>
    <w:rsid w:val="00DB33E0"/>
    <w:rsid w:val="00DC275C"/>
    <w:rsid w:val="00DC2A29"/>
    <w:rsid w:val="00DC638F"/>
    <w:rsid w:val="00DC7C22"/>
    <w:rsid w:val="00DD22B8"/>
    <w:rsid w:val="00DE151F"/>
    <w:rsid w:val="00DF0459"/>
    <w:rsid w:val="00DF6A75"/>
    <w:rsid w:val="00E01128"/>
    <w:rsid w:val="00E21D0B"/>
    <w:rsid w:val="00E221E3"/>
    <w:rsid w:val="00E231EC"/>
    <w:rsid w:val="00E25773"/>
    <w:rsid w:val="00E275B0"/>
    <w:rsid w:val="00E30D50"/>
    <w:rsid w:val="00E43223"/>
    <w:rsid w:val="00E45E30"/>
    <w:rsid w:val="00E47718"/>
    <w:rsid w:val="00E52111"/>
    <w:rsid w:val="00E53481"/>
    <w:rsid w:val="00E555CD"/>
    <w:rsid w:val="00E61008"/>
    <w:rsid w:val="00E61025"/>
    <w:rsid w:val="00E64047"/>
    <w:rsid w:val="00E730FA"/>
    <w:rsid w:val="00E7332C"/>
    <w:rsid w:val="00E74DE2"/>
    <w:rsid w:val="00E7683B"/>
    <w:rsid w:val="00E77DCF"/>
    <w:rsid w:val="00E8298C"/>
    <w:rsid w:val="00E836BA"/>
    <w:rsid w:val="00E86D8A"/>
    <w:rsid w:val="00E874D9"/>
    <w:rsid w:val="00E95A0D"/>
    <w:rsid w:val="00E95F63"/>
    <w:rsid w:val="00E970E0"/>
    <w:rsid w:val="00EA4592"/>
    <w:rsid w:val="00EA50ED"/>
    <w:rsid w:val="00EB32A5"/>
    <w:rsid w:val="00EB32FF"/>
    <w:rsid w:val="00EB4A88"/>
    <w:rsid w:val="00EC12DC"/>
    <w:rsid w:val="00EC41A4"/>
    <w:rsid w:val="00ED136B"/>
    <w:rsid w:val="00ED2807"/>
    <w:rsid w:val="00ED7AF5"/>
    <w:rsid w:val="00EE1F81"/>
    <w:rsid w:val="00EE29BA"/>
    <w:rsid w:val="00EE3595"/>
    <w:rsid w:val="00EF56AE"/>
    <w:rsid w:val="00EF734B"/>
    <w:rsid w:val="00F0069C"/>
    <w:rsid w:val="00F0273D"/>
    <w:rsid w:val="00F02C2B"/>
    <w:rsid w:val="00F04950"/>
    <w:rsid w:val="00F064FD"/>
    <w:rsid w:val="00F06D27"/>
    <w:rsid w:val="00F11661"/>
    <w:rsid w:val="00F13E4B"/>
    <w:rsid w:val="00F16B1A"/>
    <w:rsid w:val="00F238DC"/>
    <w:rsid w:val="00F266EF"/>
    <w:rsid w:val="00F305CC"/>
    <w:rsid w:val="00F335A9"/>
    <w:rsid w:val="00F3693F"/>
    <w:rsid w:val="00F42A23"/>
    <w:rsid w:val="00F440C4"/>
    <w:rsid w:val="00F45BE0"/>
    <w:rsid w:val="00F47919"/>
    <w:rsid w:val="00F5274E"/>
    <w:rsid w:val="00F5277D"/>
    <w:rsid w:val="00F53398"/>
    <w:rsid w:val="00F53B3B"/>
    <w:rsid w:val="00F5414E"/>
    <w:rsid w:val="00F71444"/>
    <w:rsid w:val="00F7266F"/>
    <w:rsid w:val="00F73963"/>
    <w:rsid w:val="00F81343"/>
    <w:rsid w:val="00F94106"/>
    <w:rsid w:val="00FA1601"/>
    <w:rsid w:val="00FA7825"/>
    <w:rsid w:val="00FB1088"/>
    <w:rsid w:val="00FB4180"/>
    <w:rsid w:val="00FC218E"/>
    <w:rsid w:val="00FC3FAF"/>
    <w:rsid w:val="00FC7A06"/>
    <w:rsid w:val="00FD0524"/>
    <w:rsid w:val="00FD2CC5"/>
    <w:rsid w:val="00FD480A"/>
    <w:rsid w:val="00FD6880"/>
    <w:rsid w:val="00FE4EA8"/>
    <w:rsid w:val="00FF0B4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AD23A9"/>
  <w15:docId w15:val="{061A1F5C-C076-4BE0-993B-32368D283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C3F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54679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067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677C"/>
    <w:rPr>
      <w:sz w:val="20"/>
      <w:szCs w:val="20"/>
    </w:rPr>
  </w:style>
  <w:style w:type="character" w:styleId="FootnoteReference">
    <w:name w:val="footnote reference"/>
    <w:basedOn w:val="DefaultParagraphFont"/>
    <w:uiPriority w:val="99"/>
    <w:semiHidden/>
    <w:unhideWhenUsed/>
    <w:rsid w:val="0070677C"/>
    <w:rPr>
      <w:vertAlign w:val="superscript"/>
    </w:rPr>
  </w:style>
  <w:style w:type="paragraph" w:styleId="BalloonText">
    <w:name w:val="Balloon Text"/>
    <w:basedOn w:val="Normal"/>
    <w:link w:val="BalloonTextChar"/>
    <w:uiPriority w:val="99"/>
    <w:semiHidden/>
    <w:unhideWhenUsed/>
    <w:rsid w:val="00FF0B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B47"/>
    <w:rPr>
      <w:rFonts w:ascii="Segoe UI" w:hAnsi="Segoe UI" w:cs="Segoe UI"/>
      <w:sz w:val="18"/>
      <w:szCs w:val="18"/>
    </w:rPr>
  </w:style>
  <w:style w:type="character" w:styleId="Hyperlink">
    <w:name w:val="Hyperlink"/>
    <w:basedOn w:val="DefaultParagraphFont"/>
    <w:uiPriority w:val="99"/>
    <w:unhideWhenUsed/>
    <w:rsid w:val="000D19A3"/>
    <w:rPr>
      <w:color w:val="0563C1"/>
      <w:u w:val="single"/>
    </w:rPr>
  </w:style>
  <w:style w:type="paragraph" w:styleId="Header">
    <w:name w:val="header"/>
    <w:basedOn w:val="Normal"/>
    <w:link w:val="HeaderChar"/>
    <w:uiPriority w:val="99"/>
    <w:unhideWhenUsed/>
    <w:rsid w:val="00D23D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3DE3"/>
  </w:style>
  <w:style w:type="paragraph" w:styleId="Footer">
    <w:name w:val="footer"/>
    <w:basedOn w:val="Normal"/>
    <w:link w:val="FooterChar"/>
    <w:uiPriority w:val="99"/>
    <w:unhideWhenUsed/>
    <w:rsid w:val="00D23D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3DE3"/>
  </w:style>
  <w:style w:type="character" w:customStyle="1" w:styleId="Heading1Char">
    <w:name w:val="Heading 1 Char"/>
    <w:basedOn w:val="DefaultParagraphFont"/>
    <w:link w:val="Heading1"/>
    <w:uiPriority w:val="9"/>
    <w:rsid w:val="00FC3FA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C3FAF"/>
    <w:pPr>
      <w:spacing w:after="240"/>
      <w:outlineLvl w:val="9"/>
    </w:pPr>
    <w:rPr>
      <w:rFonts w:ascii="Myriad Pro Black" w:eastAsia="Times New Roman" w:hAnsi="Myriad Pro Black" w:cs="Times New Roman"/>
      <w:caps/>
      <w:color w:val="auto"/>
      <w:lang w:val="en-US"/>
    </w:rPr>
  </w:style>
  <w:style w:type="paragraph" w:styleId="TOC1">
    <w:name w:val="toc 1"/>
    <w:basedOn w:val="Normal"/>
    <w:next w:val="Normal"/>
    <w:autoRedefine/>
    <w:uiPriority w:val="39"/>
    <w:rsid w:val="00FC3FAF"/>
    <w:pPr>
      <w:tabs>
        <w:tab w:val="right" w:leader="dot" w:pos="9016"/>
      </w:tabs>
      <w:spacing w:after="0" w:line="360" w:lineRule="auto"/>
      <w:ind w:left="510" w:hanging="510"/>
    </w:pPr>
    <w:rPr>
      <w:rFonts w:ascii="Myriad Pro" w:eastAsia="Times New Roman" w:hAnsi="Myriad Pro" w:cs="Times New Roman"/>
      <w:b/>
      <w:noProof/>
      <w:sz w:val="20"/>
      <w:szCs w:val="24"/>
      <w:lang w:eastAsia="en-GB"/>
    </w:rPr>
  </w:style>
  <w:style w:type="paragraph" w:styleId="TOC2">
    <w:name w:val="toc 2"/>
    <w:basedOn w:val="Normal"/>
    <w:next w:val="Normal"/>
    <w:autoRedefine/>
    <w:uiPriority w:val="39"/>
    <w:rsid w:val="00FC3FAF"/>
    <w:pPr>
      <w:tabs>
        <w:tab w:val="right" w:leader="dot" w:pos="9016"/>
      </w:tabs>
      <w:spacing w:after="0" w:line="360" w:lineRule="auto"/>
      <w:ind w:left="510" w:hanging="510"/>
    </w:pPr>
    <w:rPr>
      <w:rFonts w:ascii="Myriad Pro" w:eastAsia="Times New Roman" w:hAnsi="Myriad Pro" w:cs="Times New Roman"/>
      <w:sz w:val="20"/>
      <w:szCs w:val="24"/>
      <w:lang w:eastAsia="en-GB"/>
    </w:rPr>
  </w:style>
  <w:style w:type="paragraph" w:styleId="TOC3">
    <w:name w:val="toc 3"/>
    <w:basedOn w:val="Normal"/>
    <w:next w:val="Normal"/>
    <w:autoRedefine/>
    <w:uiPriority w:val="39"/>
    <w:rsid w:val="00FC3FAF"/>
    <w:pPr>
      <w:spacing w:after="0" w:line="360" w:lineRule="auto"/>
      <w:ind w:left="1707" w:hanging="856"/>
    </w:pPr>
    <w:rPr>
      <w:rFonts w:ascii="Myriad Pro" w:eastAsia="Times New Roman" w:hAnsi="Myriad Pro" w:cs="Times New Roman"/>
      <w:sz w:val="20"/>
      <w:szCs w:val="24"/>
      <w:lang w:eastAsia="en-GB"/>
    </w:rPr>
  </w:style>
  <w:style w:type="paragraph" w:styleId="ListParagraph">
    <w:name w:val="List Paragraph"/>
    <w:basedOn w:val="Normal"/>
    <w:uiPriority w:val="34"/>
    <w:qFormat/>
    <w:rsid w:val="00FC3FAF"/>
    <w:pPr>
      <w:ind w:left="720"/>
      <w:contextualSpacing/>
    </w:pPr>
  </w:style>
  <w:style w:type="paragraph" w:styleId="NormalWeb">
    <w:name w:val="Normal (Web)"/>
    <w:basedOn w:val="Normal"/>
    <w:uiPriority w:val="99"/>
    <w:unhideWhenUsed/>
    <w:rsid w:val="00B353F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727CC0"/>
    <w:pPr>
      <w:autoSpaceDE w:val="0"/>
      <w:autoSpaceDN w:val="0"/>
      <w:adjustRightInd w:val="0"/>
      <w:spacing w:after="0" w:line="240" w:lineRule="auto"/>
    </w:pPr>
    <w:rPr>
      <w:rFonts w:ascii="Swis721 BT" w:hAnsi="Swis721 BT" w:cs="Swis721 BT"/>
      <w:color w:val="000000"/>
      <w:sz w:val="24"/>
      <w:szCs w:val="24"/>
    </w:rPr>
  </w:style>
  <w:style w:type="paragraph" w:customStyle="1" w:styleId="Pa23">
    <w:name w:val="Pa23"/>
    <w:basedOn w:val="Default"/>
    <w:next w:val="Default"/>
    <w:uiPriority w:val="99"/>
    <w:rsid w:val="008718E3"/>
    <w:pPr>
      <w:spacing w:line="321" w:lineRule="atLeast"/>
    </w:pPr>
    <w:rPr>
      <w:rFonts w:cstheme="minorBidi"/>
      <w:color w:val="auto"/>
    </w:rPr>
  </w:style>
  <w:style w:type="paragraph" w:customStyle="1" w:styleId="Pa7">
    <w:name w:val="Pa7"/>
    <w:basedOn w:val="Default"/>
    <w:next w:val="Default"/>
    <w:uiPriority w:val="99"/>
    <w:rsid w:val="008718E3"/>
    <w:pPr>
      <w:spacing w:line="221" w:lineRule="atLeast"/>
    </w:pPr>
    <w:rPr>
      <w:rFonts w:cstheme="minorBidi"/>
      <w:color w:val="auto"/>
    </w:rPr>
  </w:style>
  <w:style w:type="paragraph" w:customStyle="1" w:styleId="Pa25">
    <w:name w:val="Pa25"/>
    <w:basedOn w:val="Default"/>
    <w:next w:val="Default"/>
    <w:uiPriority w:val="99"/>
    <w:rsid w:val="008718E3"/>
    <w:pPr>
      <w:spacing w:line="221" w:lineRule="atLeast"/>
    </w:pPr>
    <w:rPr>
      <w:rFonts w:cstheme="minorBidi"/>
      <w:color w:val="auto"/>
    </w:rPr>
  </w:style>
  <w:style w:type="character" w:customStyle="1" w:styleId="Heading3Char">
    <w:name w:val="Heading 3 Char"/>
    <w:basedOn w:val="DefaultParagraphFont"/>
    <w:link w:val="Heading3"/>
    <w:uiPriority w:val="9"/>
    <w:semiHidden/>
    <w:rsid w:val="00546796"/>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960DBB"/>
    <w:rPr>
      <w:sz w:val="16"/>
      <w:szCs w:val="16"/>
    </w:rPr>
  </w:style>
  <w:style w:type="paragraph" w:styleId="CommentText">
    <w:name w:val="annotation text"/>
    <w:basedOn w:val="Normal"/>
    <w:link w:val="CommentTextChar"/>
    <w:uiPriority w:val="99"/>
    <w:semiHidden/>
    <w:unhideWhenUsed/>
    <w:rsid w:val="00960DBB"/>
    <w:pPr>
      <w:spacing w:line="240" w:lineRule="auto"/>
    </w:pPr>
    <w:rPr>
      <w:sz w:val="20"/>
      <w:szCs w:val="20"/>
    </w:rPr>
  </w:style>
  <w:style w:type="character" w:customStyle="1" w:styleId="CommentTextChar">
    <w:name w:val="Comment Text Char"/>
    <w:basedOn w:val="DefaultParagraphFont"/>
    <w:link w:val="CommentText"/>
    <w:uiPriority w:val="99"/>
    <w:semiHidden/>
    <w:rsid w:val="00960DBB"/>
    <w:rPr>
      <w:sz w:val="20"/>
      <w:szCs w:val="20"/>
    </w:rPr>
  </w:style>
  <w:style w:type="paragraph" w:styleId="CommentSubject">
    <w:name w:val="annotation subject"/>
    <w:basedOn w:val="CommentText"/>
    <w:next w:val="CommentText"/>
    <w:link w:val="CommentSubjectChar"/>
    <w:uiPriority w:val="99"/>
    <w:semiHidden/>
    <w:unhideWhenUsed/>
    <w:rsid w:val="00960DBB"/>
    <w:rPr>
      <w:b/>
      <w:bCs/>
    </w:rPr>
  </w:style>
  <w:style w:type="character" w:customStyle="1" w:styleId="CommentSubjectChar">
    <w:name w:val="Comment Subject Char"/>
    <w:basedOn w:val="CommentTextChar"/>
    <w:link w:val="CommentSubject"/>
    <w:uiPriority w:val="99"/>
    <w:semiHidden/>
    <w:rsid w:val="00960DBB"/>
    <w:rPr>
      <w:b/>
      <w:bCs/>
      <w:sz w:val="20"/>
      <w:szCs w:val="20"/>
    </w:rPr>
  </w:style>
  <w:style w:type="character" w:customStyle="1" w:styleId="apple-converted-space">
    <w:name w:val="apple-converted-space"/>
    <w:basedOn w:val="DefaultParagraphFont"/>
    <w:rsid w:val="000B088A"/>
  </w:style>
  <w:style w:type="character" w:customStyle="1" w:styleId="cohidesearchterm">
    <w:name w:val="co_hidesearchterm"/>
    <w:basedOn w:val="DefaultParagraphFont"/>
    <w:rsid w:val="000B0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08358">
      <w:bodyDiv w:val="1"/>
      <w:marLeft w:val="0"/>
      <w:marRight w:val="0"/>
      <w:marTop w:val="0"/>
      <w:marBottom w:val="0"/>
      <w:divBdr>
        <w:top w:val="none" w:sz="0" w:space="0" w:color="auto"/>
        <w:left w:val="none" w:sz="0" w:space="0" w:color="auto"/>
        <w:bottom w:val="none" w:sz="0" w:space="0" w:color="auto"/>
        <w:right w:val="none" w:sz="0" w:space="0" w:color="auto"/>
      </w:divBdr>
    </w:div>
    <w:div w:id="376972227">
      <w:bodyDiv w:val="1"/>
      <w:marLeft w:val="0"/>
      <w:marRight w:val="0"/>
      <w:marTop w:val="0"/>
      <w:marBottom w:val="0"/>
      <w:divBdr>
        <w:top w:val="none" w:sz="0" w:space="0" w:color="auto"/>
        <w:left w:val="none" w:sz="0" w:space="0" w:color="auto"/>
        <w:bottom w:val="none" w:sz="0" w:space="0" w:color="auto"/>
        <w:right w:val="none" w:sz="0" w:space="0" w:color="auto"/>
      </w:divBdr>
    </w:div>
    <w:div w:id="838232090">
      <w:bodyDiv w:val="1"/>
      <w:marLeft w:val="0"/>
      <w:marRight w:val="0"/>
      <w:marTop w:val="0"/>
      <w:marBottom w:val="0"/>
      <w:divBdr>
        <w:top w:val="none" w:sz="0" w:space="0" w:color="auto"/>
        <w:left w:val="none" w:sz="0" w:space="0" w:color="auto"/>
        <w:bottom w:val="none" w:sz="0" w:space="0" w:color="auto"/>
        <w:right w:val="none" w:sz="0" w:space="0" w:color="auto"/>
      </w:divBdr>
      <w:divsChild>
        <w:div w:id="1450660731">
          <w:marLeft w:val="0"/>
          <w:marRight w:val="0"/>
          <w:marTop w:val="0"/>
          <w:marBottom w:val="0"/>
          <w:divBdr>
            <w:top w:val="none" w:sz="0" w:space="0" w:color="auto"/>
            <w:left w:val="none" w:sz="0" w:space="0" w:color="auto"/>
            <w:bottom w:val="none" w:sz="0" w:space="0" w:color="auto"/>
            <w:right w:val="none" w:sz="0" w:space="0" w:color="auto"/>
          </w:divBdr>
          <w:divsChild>
            <w:div w:id="1667322654">
              <w:marLeft w:val="0"/>
              <w:marRight w:val="0"/>
              <w:marTop w:val="0"/>
              <w:marBottom w:val="0"/>
              <w:divBdr>
                <w:top w:val="none" w:sz="0" w:space="0" w:color="auto"/>
                <w:left w:val="none" w:sz="0" w:space="0" w:color="auto"/>
                <w:bottom w:val="none" w:sz="0" w:space="0" w:color="auto"/>
                <w:right w:val="none" w:sz="0" w:space="0" w:color="auto"/>
              </w:divBdr>
              <w:divsChild>
                <w:div w:id="412509537">
                  <w:marLeft w:val="0"/>
                  <w:marRight w:val="0"/>
                  <w:marTop w:val="0"/>
                  <w:marBottom w:val="0"/>
                  <w:divBdr>
                    <w:top w:val="none" w:sz="0" w:space="0" w:color="auto"/>
                    <w:left w:val="none" w:sz="0" w:space="0" w:color="auto"/>
                    <w:bottom w:val="none" w:sz="0" w:space="0" w:color="auto"/>
                    <w:right w:val="none" w:sz="0" w:space="0" w:color="auto"/>
                  </w:divBdr>
                  <w:divsChild>
                    <w:div w:id="50459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546784">
      <w:bodyDiv w:val="1"/>
      <w:marLeft w:val="0"/>
      <w:marRight w:val="0"/>
      <w:marTop w:val="0"/>
      <w:marBottom w:val="0"/>
      <w:divBdr>
        <w:top w:val="none" w:sz="0" w:space="0" w:color="auto"/>
        <w:left w:val="none" w:sz="0" w:space="0" w:color="auto"/>
        <w:bottom w:val="none" w:sz="0" w:space="0" w:color="auto"/>
        <w:right w:val="none" w:sz="0" w:space="0" w:color="auto"/>
      </w:divBdr>
    </w:div>
    <w:div w:id="1091271236">
      <w:bodyDiv w:val="1"/>
      <w:marLeft w:val="0"/>
      <w:marRight w:val="0"/>
      <w:marTop w:val="0"/>
      <w:marBottom w:val="0"/>
      <w:divBdr>
        <w:top w:val="none" w:sz="0" w:space="0" w:color="auto"/>
        <w:left w:val="none" w:sz="0" w:space="0" w:color="auto"/>
        <w:bottom w:val="none" w:sz="0" w:space="0" w:color="auto"/>
        <w:right w:val="none" w:sz="0" w:space="0" w:color="auto"/>
      </w:divBdr>
    </w:div>
    <w:div w:id="1155999086">
      <w:bodyDiv w:val="1"/>
      <w:marLeft w:val="0"/>
      <w:marRight w:val="0"/>
      <w:marTop w:val="0"/>
      <w:marBottom w:val="0"/>
      <w:divBdr>
        <w:top w:val="none" w:sz="0" w:space="0" w:color="auto"/>
        <w:left w:val="none" w:sz="0" w:space="0" w:color="auto"/>
        <w:bottom w:val="none" w:sz="0" w:space="0" w:color="auto"/>
        <w:right w:val="none" w:sz="0" w:space="0" w:color="auto"/>
      </w:divBdr>
    </w:div>
    <w:div w:id="1340505904">
      <w:bodyDiv w:val="1"/>
      <w:marLeft w:val="0"/>
      <w:marRight w:val="0"/>
      <w:marTop w:val="0"/>
      <w:marBottom w:val="0"/>
      <w:divBdr>
        <w:top w:val="none" w:sz="0" w:space="0" w:color="auto"/>
        <w:left w:val="none" w:sz="0" w:space="0" w:color="auto"/>
        <w:bottom w:val="none" w:sz="0" w:space="0" w:color="auto"/>
        <w:right w:val="none" w:sz="0" w:space="0" w:color="auto"/>
      </w:divBdr>
    </w:div>
    <w:div w:id="1643462954">
      <w:bodyDiv w:val="1"/>
      <w:marLeft w:val="0"/>
      <w:marRight w:val="0"/>
      <w:marTop w:val="0"/>
      <w:marBottom w:val="0"/>
      <w:divBdr>
        <w:top w:val="none" w:sz="0" w:space="0" w:color="auto"/>
        <w:left w:val="none" w:sz="0" w:space="0" w:color="auto"/>
        <w:bottom w:val="none" w:sz="0" w:space="0" w:color="auto"/>
        <w:right w:val="none" w:sz="0" w:space="0" w:color="auto"/>
      </w:divBdr>
      <w:divsChild>
        <w:div w:id="947470787">
          <w:marLeft w:val="0"/>
          <w:marRight w:val="0"/>
          <w:marTop w:val="0"/>
          <w:marBottom w:val="0"/>
          <w:divBdr>
            <w:top w:val="none" w:sz="0" w:space="0" w:color="auto"/>
            <w:left w:val="none" w:sz="0" w:space="0" w:color="auto"/>
            <w:bottom w:val="none" w:sz="0" w:space="0" w:color="auto"/>
            <w:right w:val="none" w:sz="0" w:space="0" w:color="auto"/>
          </w:divBdr>
          <w:divsChild>
            <w:div w:id="29191551">
              <w:marLeft w:val="0"/>
              <w:marRight w:val="0"/>
              <w:marTop w:val="0"/>
              <w:marBottom w:val="0"/>
              <w:divBdr>
                <w:top w:val="none" w:sz="0" w:space="0" w:color="auto"/>
                <w:left w:val="none" w:sz="0" w:space="0" w:color="auto"/>
                <w:bottom w:val="none" w:sz="0" w:space="0" w:color="auto"/>
                <w:right w:val="none" w:sz="0" w:space="0" w:color="auto"/>
              </w:divBdr>
              <w:divsChild>
                <w:div w:id="42483943">
                  <w:marLeft w:val="0"/>
                  <w:marRight w:val="0"/>
                  <w:marTop w:val="0"/>
                  <w:marBottom w:val="0"/>
                  <w:divBdr>
                    <w:top w:val="none" w:sz="0" w:space="0" w:color="auto"/>
                    <w:left w:val="none" w:sz="0" w:space="0" w:color="auto"/>
                    <w:bottom w:val="none" w:sz="0" w:space="0" w:color="auto"/>
                    <w:right w:val="none" w:sz="0" w:space="0" w:color="auto"/>
                  </w:divBdr>
                  <w:divsChild>
                    <w:div w:id="1696612113">
                      <w:marLeft w:val="0"/>
                      <w:marRight w:val="0"/>
                      <w:marTop w:val="0"/>
                      <w:marBottom w:val="0"/>
                      <w:divBdr>
                        <w:top w:val="none" w:sz="0" w:space="0" w:color="auto"/>
                        <w:left w:val="none" w:sz="0" w:space="0" w:color="auto"/>
                        <w:bottom w:val="none" w:sz="0" w:space="0" w:color="auto"/>
                        <w:right w:val="none" w:sz="0" w:space="0" w:color="auto"/>
                      </w:divBdr>
                      <w:divsChild>
                        <w:div w:id="1312902065">
                          <w:marLeft w:val="0"/>
                          <w:marRight w:val="0"/>
                          <w:marTop w:val="0"/>
                          <w:marBottom w:val="0"/>
                          <w:divBdr>
                            <w:top w:val="none" w:sz="0" w:space="0" w:color="auto"/>
                            <w:left w:val="none" w:sz="0" w:space="0" w:color="auto"/>
                            <w:bottom w:val="none" w:sz="0" w:space="0" w:color="auto"/>
                            <w:right w:val="none" w:sz="0" w:space="0" w:color="auto"/>
                          </w:divBdr>
                          <w:divsChild>
                            <w:div w:id="49410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9260599">
      <w:bodyDiv w:val="1"/>
      <w:marLeft w:val="0"/>
      <w:marRight w:val="0"/>
      <w:marTop w:val="0"/>
      <w:marBottom w:val="0"/>
      <w:divBdr>
        <w:top w:val="none" w:sz="0" w:space="0" w:color="auto"/>
        <w:left w:val="none" w:sz="0" w:space="0" w:color="auto"/>
        <w:bottom w:val="none" w:sz="0" w:space="0" w:color="auto"/>
        <w:right w:val="none" w:sz="0" w:space="0" w:color="auto"/>
      </w:divBdr>
    </w:div>
    <w:div w:id="199926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326D4-7805-439E-8654-3E684D769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19</Pages>
  <Words>6697</Words>
  <Characters>38177</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44785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Pickhaver, David</dc:creator>
  <cp:keywords/>
  <dc:description/>
  <cp:lastModifiedBy>Pickhaver, David</cp:lastModifiedBy>
  <cp:revision>6</cp:revision>
  <cp:lastPrinted>2020-12-15T14:42:00Z</cp:lastPrinted>
  <dcterms:created xsi:type="dcterms:W3CDTF">2020-12-15T10:55:00Z</dcterms:created>
  <dcterms:modified xsi:type="dcterms:W3CDTF">2020-12-15T15:16:00Z</dcterms:modified>
</cp:coreProperties>
</file>