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3C05A674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DB5948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68878594" w:rsidR="00EA76CC" w:rsidRPr="002B13CB" w:rsidRDefault="003B0A00" w:rsidP="003F777D">
            <w:pPr>
              <w:rPr>
                <w:b/>
              </w:rPr>
            </w:pPr>
            <w:r>
              <w:rPr>
                <w:b/>
              </w:rPr>
              <w:t>Brixham Peninsula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2E727C05" w:rsidR="00EA76CC" w:rsidRPr="003F777D" w:rsidRDefault="003B0A00" w:rsidP="00C552B2">
            <w:r>
              <w:t>Alston Lane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75E2A833" w:rsidR="004361B3" w:rsidRPr="003F777D" w:rsidRDefault="00C552B2" w:rsidP="00F7459D">
            <w:r>
              <w:t>13261</w:t>
            </w:r>
            <w:r w:rsidR="003B0A00">
              <w:t xml:space="preserve">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3D99E3B8" w:rsidR="004361B3" w:rsidRPr="003F777D" w:rsidRDefault="00C552B2" w:rsidP="00F7459D">
            <w:r>
              <w:t>0.55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2595F0D" w14:textId="67BA735A" w:rsidR="00F743DA" w:rsidRDefault="00C552B2" w:rsidP="00A228ED">
            <w:r>
              <w:rPr>
                <w:noProof/>
                <w:lang w:eastAsia="en-GB"/>
              </w:rPr>
              <w:drawing>
                <wp:inline distT="0" distB="0" distL="0" distR="0" wp14:anchorId="76E8429F" wp14:editId="4750C26D">
                  <wp:extent cx="3333750" cy="3333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7177EB18" w14:textId="3E78C5C3" w:rsidR="00F7459D" w:rsidRPr="003F777D" w:rsidRDefault="003B0A00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13260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069C2D53" w:rsidR="00135146" w:rsidRPr="003F777D" w:rsidRDefault="00135146" w:rsidP="00F743DA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4245AAD8" w14:textId="77777777" w:rsidR="00F13BF4" w:rsidRDefault="00C552B2" w:rsidP="005745DC">
            <w:pPr>
              <w:rPr>
                <w:color w:val="FF0000"/>
              </w:rPr>
            </w:pPr>
            <w:r>
              <w:rPr>
                <w:color w:val="FF0000"/>
              </w:rPr>
              <w:t xml:space="preserve">Abuts </w:t>
            </w:r>
            <w:r w:rsidR="003B0A00">
              <w:rPr>
                <w:color w:val="FF0000"/>
              </w:rPr>
              <w:t xml:space="preserve">AONB, </w:t>
            </w:r>
            <w:r w:rsidR="002E6A30">
              <w:rPr>
                <w:color w:val="FF0000"/>
              </w:rPr>
              <w:t xml:space="preserve">Undeveloped Coast, </w:t>
            </w:r>
            <w:r w:rsidR="005745DC">
              <w:rPr>
                <w:color w:val="FF0000"/>
              </w:rPr>
              <w:t>Conservation</w:t>
            </w:r>
            <w:r w:rsidR="003B0A00">
              <w:rPr>
                <w:color w:val="FF0000"/>
              </w:rPr>
              <w:t xml:space="preserve"> Area. Trees on </w:t>
            </w:r>
            <w:r w:rsidR="005745DC">
              <w:rPr>
                <w:color w:val="FF0000"/>
              </w:rPr>
              <w:t>frontage with Alston Lane</w:t>
            </w:r>
            <w:r w:rsidR="007871DB">
              <w:rPr>
                <w:color w:val="FF0000"/>
              </w:rPr>
              <w:t>.</w:t>
            </w:r>
          </w:p>
          <w:p w14:paraId="7DA74B85" w14:textId="4D8A6326" w:rsidR="007871DB" w:rsidRPr="003F777D" w:rsidRDefault="007871DB" w:rsidP="005745DC">
            <w:pPr>
              <w:rPr>
                <w:color w:val="FF0000"/>
              </w:rPr>
            </w:pPr>
            <w:r>
              <w:rPr>
                <w:color w:val="FF0000"/>
              </w:rPr>
              <w:t>Impact on setting of Lupton Park.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6265C3EC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18677C8D" w:rsidR="00F13BF4" w:rsidRPr="00675E5B" w:rsidRDefault="003B0A00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Constraints identified in 2013 remain relevant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77777777" w:rsidR="004361B3" w:rsidRDefault="004361B3" w:rsidP="00F13BF4"/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73CE60B5" w:rsidR="00135146" w:rsidRPr="00EA76CC" w:rsidRDefault="00135146" w:rsidP="00135146"/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38760718" w:rsidR="004361B3" w:rsidRPr="00EA76CC" w:rsidRDefault="003B0A00" w:rsidP="00135146">
            <w:r>
              <w:t>Not suitable</w:t>
            </w:r>
            <w:r w:rsidR="005745DC">
              <w:t>: loss of tress and impact on AONB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10319F24" w:rsidR="009E65EC" w:rsidRDefault="009E65EC" w:rsidP="003A244A"/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5745DC" w:rsidRPr="005745DC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2E6A30"/>
    <w:rsid w:val="003A244A"/>
    <w:rsid w:val="003B0A00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5745DC"/>
    <w:rsid w:val="00645CDA"/>
    <w:rsid w:val="00675E5B"/>
    <w:rsid w:val="00677CC6"/>
    <w:rsid w:val="006B0B13"/>
    <w:rsid w:val="006F2ACC"/>
    <w:rsid w:val="00784732"/>
    <w:rsid w:val="007871DB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552B2"/>
    <w:rsid w:val="00CB69F1"/>
    <w:rsid w:val="00CE2FC7"/>
    <w:rsid w:val="00D00A6B"/>
    <w:rsid w:val="00D0154E"/>
    <w:rsid w:val="00D72B46"/>
    <w:rsid w:val="00DB5948"/>
    <w:rsid w:val="00DD1689"/>
    <w:rsid w:val="00DE680A"/>
    <w:rsid w:val="00E16782"/>
    <w:rsid w:val="00E871C9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2619E-4133-4F3B-8326-780F7E4EA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661E5-42AB-427E-81F6-4732C72C8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1E82C-6642-40EA-B073-C39085646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2021-06-20T16:55:00Z</dcterms:created>
  <dcterms:modified xsi:type="dcterms:W3CDTF">2021-12-21T12:19:00Z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